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A2BB" w14:textId="77777777" w:rsidR="003F4C15" w:rsidRPr="00CB7915" w:rsidRDefault="00015D41" w:rsidP="006C4C9B">
      <w:pPr>
        <w:jc w:val="both"/>
        <w:rPr>
          <w:rFonts w:cstheme="minorHAnsi"/>
          <w:b/>
          <w:color w:val="000066"/>
          <w:sz w:val="44"/>
          <w:szCs w:val="44"/>
        </w:rPr>
      </w:pPr>
      <w:r w:rsidRPr="00CB7915">
        <w:rPr>
          <w:rFonts w:cstheme="minorHAnsi"/>
          <w:b/>
          <w:noProof/>
          <w:color w:val="000066"/>
          <w:sz w:val="44"/>
          <w:szCs w:val="44"/>
          <w:lang w:val="en-US"/>
        </w:rPr>
        <w:drawing>
          <wp:anchor distT="0" distB="0" distL="114300" distR="114300" simplePos="0" relativeHeight="251663360" behindDoc="0" locked="0" layoutInCell="1" allowOverlap="1" wp14:anchorId="39A2E660" wp14:editId="396CB50F">
            <wp:simplePos x="0" y="0"/>
            <wp:positionH relativeFrom="margin">
              <wp:posOffset>4382770</wp:posOffset>
            </wp:positionH>
            <wp:positionV relativeFrom="margin">
              <wp:posOffset>-426085</wp:posOffset>
            </wp:positionV>
            <wp:extent cx="1280795" cy="7112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fpa-united-nations-population-fund-logo-vect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795" cy="711200"/>
                    </a:xfrm>
                    <a:prstGeom prst="rect">
                      <a:avLst/>
                    </a:prstGeom>
                  </pic:spPr>
                </pic:pic>
              </a:graphicData>
            </a:graphic>
            <wp14:sizeRelH relativeFrom="margin">
              <wp14:pctWidth>0</wp14:pctWidth>
            </wp14:sizeRelH>
            <wp14:sizeRelV relativeFrom="margin">
              <wp14:pctHeight>0</wp14:pctHeight>
            </wp14:sizeRelV>
          </wp:anchor>
        </w:drawing>
      </w:r>
      <w:r w:rsidRPr="00CB7915">
        <w:rPr>
          <w:rFonts w:cstheme="minorHAnsi"/>
          <w:b/>
          <w:noProof/>
          <w:color w:val="000066"/>
          <w:sz w:val="44"/>
          <w:szCs w:val="44"/>
          <w:lang w:val="en-US"/>
        </w:rPr>
        <w:drawing>
          <wp:anchor distT="0" distB="0" distL="114300" distR="114300" simplePos="0" relativeHeight="251662336" behindDoc="0" locked="0" layoutInCell="1" allowOverlap="1" wp14:anchorId="1A6AE588" wp14:editId="11F44729">
            <wp:simplePos x="0" y="0"/>
            <wp:positionH relativeFrom="margin">
              <wp:posOffset>1879893</wp:posOffset>
            </wp:positionH>
            <wp:positionV relativeFrom="margin">
              <wp:posOffset>-439616</wp:posOffset>
            </wp:positionV>
            <wp:extent cx="1511788" cy="585781"/>
            <wp:effectExtent l="0" t="0" r="0"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D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788" cy="585781"/>
                    </a:xfrm>
                    <a:prstGeom prst="rect">
                      <a:avLst/>
                    </a:prstGeom>
                  </pic:spPr>
                </pic:pic>
              </a:graphicData>
            </a:graphic>
          </wp:anchor>
        </w:drawing>
      </w:r>
    </w:p>
    <w:p w14:paraId="0D43D247" w14:textId="77777777" w:rsidR="003A1C53" w:rsidRPr="00CB7915" w:rsidRDefault="0076301D" w:rsidP="00D802DE">
      <w:pPr>
        <w:jc w:val="center"/>
        <w:rPr>
          <w:b/>
          <w:color w:val="000066"/>
          <w:sz w:val="44"/>
          <w:szCs w:val="44"/>
        </w:rPr>
      </w:pPr>
      <w:r w:rsidRPr="00CB7915">
        <w:rPr>
          <w:rFonts w:cstheme="minorHAnsi"/>
          <w:b/>
          <w:noProof/>
          <w:color w:val="000066"/>
          <w:sz w:val="44"/>
          <w:szCs w:val="44"/>
          <w:lang w:val="en-US"/>
        </w:rPr>
        <w:drawing>
          <wp:anchor distT="0" distB="0" distL="114300" distR="114300" simplePos="0" relativeHeight="251658240" behindDoc="1" locked="0" layoutInCell="1" allowOverlap="1" wp14:anchorId="635A9E93" wp14:editId="26824D76">
            <wp:simplePos x="0" y="0"/>
            <wp:positionH relativeFrom="column">
              <wp:posOffset>-467719</wp:posOffset>
            </wp:positionH>
            <wp:positionV relativeFrom="page">
              <wp:posOffset>374400</wp:posOffset>
            </wp:positionV>
            <wp:extent cx="1036800" cy="795600"/>
            <wp:effectExtent l="0" t="0" r="0" b="5080"/>
            <wp:wrapTopAndBottom/>
            <wp:docPr id="1" name="Imagen 1" descr="D:\INSTITUTO PERIODISMO\2021_04_25_08_54_IMG_6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STITUTO PERIODISMO\2021_04_25_08_54_IMG_65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00" cy="7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7915">
        <w:rPr>
          <w:rFonts w:cstheme="minorHAnsi"/>
          <w:b/>
          <w:color w:val="000066"/>
          <w:sz w:val="44"/>
          <w:szCs w:val="44"/>
        </w:rPr>
        <w:t>#</w:t>
      </w:r>
      <w:r w:rsidRPr="00CB7915">
        <w:rPr>
          <w:b/>
          <w:color w:val="000066"/>
          <w:sz w:val="44"/>
          <w:szCs w:val="44"/>
        </w:rPr>
        <w:t>HerramientasParaPeriodistas</w:t>
      </w:r>
      <w:bookmarkStart w:id="0" w:name="_GoBack"/>
      <w:bookmarkEnd w:id="0"/>
    </w:p>
    <w:p w14:paraId="7DE6A875" w14:textId="77777777" w:rsidR="003932C1" w:rsidRPr="00CB7915" w:rsidRDefault="003932C1" w:rsidP="00D802DE">
      <w:pPr>
        <w:jc w:val="center"/>
        <w:rPr>
          <w:b/>
          <w:color w:val="000066"/>
          <w:sz w:val="24"/>
          <w:szCs w:val="24"/>
        </w:rPr>
      </w:pPr>
      <w:r w:rsidRPr="00CB7915">
        <w:rPr>
          <w:b/>
          <w:color w:val="000066"/>
          <w:sz w:val="24"/>
          <w:szCs w:val="24"/>
        </w:rPr>
        <w:t>Día Mundial de la Población 2021</w:t>
      </w:r>
    </w:p>
    <w:p w14:paraId="7ADBD2B3" w14:textId="77777777" w:rsidR="004F1612" w:rsidRPr="00CB7915" w:rsidRDefault="004F1612" w:rsidP="006C4C9B">
      <w:pPr>
        <w:jc w:val="both"/>
        <w:rPr>
          <w:b/>
          <w:color w:val="000066"/>
          <w:sz w:val="24"/>
          <w:szCs w:val="24"/>
        </w:rPr>
      </w:pPr>
    </w:p>
    <w:p w14:paraId="5E2F1D27" w14:textId="77777777" w:rsidR="004F1612" w:rsidRPr="00CB7915" w:rsidRDefault="004F1612" w:rsidP="006C4C9B">
      <w:pPr>
        <w:jc w:val="both"/>
        <w:rPr>
          <w:b/>
          <w:color w:val="000066"/>
          <w:sz w:val="24"/>
          <w:szCs w:val="24"/>
        </w:rPr>
      </w:pPr>
    </w:p>
    <w:p w14:paraId="507E5262" w14:textId="616BDBC0" w:rsidR="004F1612" w:rsidRPr="00CB7915" w:rsidRDefault="004F1612" w:rsidP="006C4C9B">
      <w:pPr>
        <w:jc w:val="both"/>
        <w:rPr>
          <w:iCs/>
        </w:rPr>
      </w:pPr>
      <w:r w:rsidRPr="00CB7915">
        <w:t xml:space="preserve">El Instituto Internacional de Periodismo José Martí continua este mes su serie </w:t>
      </w:r>
      <w:r w:rsidRPr="00CB7915">
        <w:rPr>
          <w:b/>
        </w:rPr>
        <w:t xml:space="preserve">#HerramientasParaPeriodistas, </w:t>
      </w:r>
      <w:r w:rsidRPr="00CB7915">
        <w:t>con una recopilación de información de utilidad para apoyar la cobertura de</w:t>
      </w:r>
      <w:r w:rsidR="00F263F1" w:rsidRPr="00CB7915">
        <w:t xml:space="preserve">l 11 de julio, Día Mundial de la Población 2021, cuya celebración central en Cubase realizará </w:t>
      </w:r>
      <w:r w:rsidR="00560D33" w:rsidRPr="00CB7915">
        <w:t xml:space="preserve">desde la </w:t>
      </w:r>
      <w:r w:rsidR="00F263F1" w:rsidRPr="00CB7915">
        <w:t>alianza entre el Centro de Estudios Demográficos (CEDEM), de la Universidad de La Habana</w:t>
      </w:r>
      <w:r w:rsidRPr="00CB7915">
        <w:t xml:space="preserve"> </w:t>
      </w:r>
      <w:r w:rsidR="00F263F1" w:rsidRPr="00CB7915">
        <w:t>y el UNFPA</w:t>
      </w:r>
      <w:r w:rsidR="00D802DE" w:rsidRPr="00CB7915">
        <w:t>, Fondo</w:t>
      </w:r>
      <w:r w:rsidR="00F263F1" w:rsidRPr="00CB7915">
        <w:t xml:space="preserve"> de Población de las Naciones Unidas</w:t>
      </w:r>
      <w:r w:rsidRPr="00CB7915">
        <w:rPr>
          <w:iCs/>
        </w:rPr>
        <w:t>.</w:t>
      </w:r>
    </w:p>
    <w:p w14:paraId="192B650D" w14:textId="77777777" w:rsidR="004F1612" w:rsidRPr="00CB7915" w:rsidRDefault="004F1612" w:rsidP="006C4C9B">
      <w:pPr>
        <w:jc w:val="both"/>
        <w:rPr>
          <w:iCs/>
          <w:sz w:val="24"/>
          <w:szCs w:val="24"/>
        </w:rPr>
      </w:pPr>
    </w:p>
    <w:p w14:paraId="30D06955" w14:textId="77777777" w:rsidR="004F1612" w:rsidRPr="00CB7915" w:rsidRDefault="004F1612" w:rsidP="006C4C9B">
      <w:pPr>
        <w:jc w:val="both"/>
        <w:rPr>
          <w:b/>
          <w:color w:val="000066"/>
          <w:sz w:val="24"/>
          <w:szCs w:val="24"/>
        </w:rPr>
      </w:pPr>
      <w:r w:rsidRPr="00CB7915">
        <w:rPr>
          <w:b/>
          <w:color w:val="000066"/>
          <w:sz w:val="24"/>
          <w:szCs w:val="24"/>
        </w:rPr>
        <w:t>Antecedentes</w:t>
      </w:r>
    </w:p>
    <w:p w14:paraId="4665B1E7" w14:textId="77777777" w:rsidR="004F1612" w:rsidRPr="00CB7915" w:rsidRDefault="004F1612" w:rsidP="006C4C9B">
      <w:pPr>
        <w:jc w:val="both"/>
      </w:pPr>
    </w:p>
    <w:p w14:paraId="4666C475" w14:textId="77777777" w:rsidR="00B0195B" w:rsidRPr="00CB7915" w:rsidRDefault="00B0195B" w:rsidP="006C4C9B">
      <w:pPr>
        <w:pStyle w:val="Prrafodelista"/>
        <w:numPr>
          <w:ilvl w:val="0"/>
          <w:numId w:val="1"/>
        </w:numPr>
        <w:jc w:val="both"/>
      </w:pPr>
      <w:r w:rsidRPr="00CB7915">
        <w:t xml:space="preserve">Cada 11 de julio, desde hace más de tres décadas, el mundo celebra el Día Mundial de la Población y reflexiona acerca de la importancia de que las personas sean el centro de cualquier proyecto de desarrollo. </w:t>
      </w:r>
    </w:p>
    <w:p w14:paraId="6F8B98AA" w14:textId="64CB6C91" w:rsidR="006A463B" w:rsidRPr="00CB7915" w:rsidRDefault="00B0195B" w:rsidP="006C4C9B">
      <w:pPr>
        <w:pStyle w:val="Prrafodelista"/>
        <w:numPr>
          <w:ilvl w:val="0"/>
          <w:numId w:val="1"/>
        </w:numPr>
        <w:jc w:val="both"/>
      </w:pPr>
      <w:r w:rsidRPr="00CB7915">
        <w:t xml:space="preserve">La historia de la celebración data del 11 de julio de 1987, cuando se conmemoró el Día de los 5 mil millones, </w:t>
      </w:r>
      <w:r w:rsidR="00560D33" w:rsidRPr="00CB7915">
        <w:t xml:space="preserve">pues fue el </w:t>
      </w:r>
      <w:r w:rsidR="00AD3D8E" w:rsidRPr="00CB7915">
        <w:t xml:space="preserve">momento en que el planeta alcanzó ese monto total de </w:t>
      </w:r>
      <w:r w:rsidRPr="00CB7915">
        <w:t xml:space="preserve">población. </w:t>
      </w:r>
    </w:p>
    <w:p w14:paraId="596C9BA1" w14:textId="736C7291" w:rsidR="00B0195B" w:rsidRPr="00CB7915" w:rsidRDefault="00B0195B" w:rsidP="006C4C9B">
      <w:pPr>
        <w:pStyle w:val="Prrafodelista"/>
        <w:numPr>
          <w:ilvl w:val="0"/>
          <w:numId w:val="1"/>
        </w:numPr>
        <w:jc w:val="both"/>
      </w:pPr>
      <w:r w:rsidRPr="00CB7915">
        <w:t xml:space="preserve">Tras el interés despertado por la conmemoración, la Asamblea General de las Naciones Unidas recomendó que se observara anualmente el 11 de julio como Día Mundial de la Población, </w:t>
      </w:r>
      <w:r w:rsidR="006A463B" w:rsidRPr="00CB7915">
        <w:t xml:space="preserve">con el fin </w:t>
      </w:r>
      <w:r w:rsidRPr="00CB7915">
        <w:t xml:space="preserve">de crear mayor conciencia sobre los problemas de las personas y sus relaciones con el desarrollo económico y social. </w:t>
      </w:r>
    </w:p>
    <w:p w14:paraId="369B62A7" w14:textId="22740BEB" w:rsidR="004F1612" w:rsidRPr="00CB7915" w:rsidRDefault="00AB76F2" w:rsidP="006C4C9B">
      <w:pPr>
        <w:pStyle w:val="Prrafodelista"/>
        <w:numPr>
          <w:ilvl w:val="0"/>
          <w:numId w:val="1"/>
        </w:numPr>
        <w:jc w:val="both"/>
      </w:pPr>
      <w:r w:rsidRPr="00CB7915">
        <w:t>Así, d</w:t>
      </w:r>
      <w:r w:rsidR="00B0195B" w:rsidRPr="00CB7915">
        <w:t xml:space="preserve">esde 1990 las oficinas del UNFPA, </w:t>
      </w:r>
      <w:r w:rsidRPr="00CB7915">
        <w:t xml:space="preserve">Fondo de Población de las Naciones Unidas, </w:t>
      </w:r>
      <w:r w:rsidR="00B0195B" w:rsidRPr="00CB7915">
        <w:t xml:space="preserve">con apoyo de los </w:t>
      </w:r>
      <w:r w:rsidR="006A463B" w:rsidRPr="00CB7915">
        <w:t>g</w:t>
      </w:r>
      <w:r w:rsidR="00B0195B" w:rsidRPr="00CB7915">
        <w:t xml:space="preserve">obiernos y las comunidades, han celebrado </w:t>
      </w:r>
      <w:r w:rsidRPr="00CB7915">
        <w:t xml:space="preserve">cada año </w:t>
      </w:r>
      <w:r w:rsidR="00B0195B" w:rsidRPr="00CB7915">
        <w:t>la fecha, despertando conciencia acerca de importantes cuestiones relativas a la población y el desarrollo.</w:t>
      </w:r>
    </w:p>
    <w:p w14:paraId="0224817B" w14:textId="77777777" w:rsidR="004F1612" w:rsidRPr="00CB7915" w:rsidRDefault="004F1612" w:rsidP="006C4C9B">
      <w:pPr>
        <w:jc w:val="both"/>
      </w:pPr>
    </w:p>
    <w:p w14:paraId="4D87F2DF" w14:textId="77777777" w:rsidR="003F4C15" w:rsidRPr="00CB7915" w:rsidRDefault="003F4C15" w:rsidP="006C4C9B">
      <w:pPr>
        <w:jc w:val="both"/>
        <w:rPr>
          <w:b/>
          <w:color w:val="000066"/>
          <w:sz w:val="24"/>
          <w:szCs w:val="24"/>
        </w:rPr>
      </w:pPr>
      <w:r w:rsidRPr="00CB7915">
        <w:rPr>
          <w:b/>
          <w:color w:val="000066"/>
          <w:sz w:val="24"/>
          <w:szCs w:val="24"/>
        </w:rPr>
        <w:t xml:space="preserve">Desafíos del contexto actual  </w:t>
      </w:r>
    </w:p>
    <w:p w14:paraId="737D2EC6" w14:textId="77777777" w:rsidR="004F1612" w:rsidRPr="00CB7915" w:rsidRDefault="004F1612" w:rsidP="006C4C9B">
      <w:pPr>
        <w:jc w:val="both"/>
        <w:rPr>
          <w:b/>
          <w:color w:val="000066"/>
        </w:rPr>
      </w:pPr>
    </w:p>
    <w:p w14:paraId="3A875672" w14:textId="084C137E" w:rsidR="00466036" w:rsidRPr="00CB7915" w:rsidRDefault="00466036" w:rsidP="006C4C9B">
      <w:pPr>
        <w:pStyle w:val="Prrafodelista"/>
        <w:numPr>
          <w:ilvl w:val="0"/>
          <w:numId w:val="5"/>
        </w:numPr>
        <w:jc w:val="both"/>
      </w:pPr>
      <w:r w:rsidRPr="00CB7915">
        <w:t>La COVID-19 ha puesto en jaque los sistemas de salud, las economías y la movilidad de las poblaciones, por solo citar los ejemplos más visibles de</w:t>
      </w:r>
      <w:r w:rsidR="00560D33" w:rsidRPr="00CB7915">
        <w:t xml:space="preserve">l </w:t>
      </w:r>
      <w:r w:rsidRPr="00CB7915">
        <w:t>impacto sin precedentes en las últimas décadas</w:t>
      </w:r>
      <w:r w:rsidR="00560D33" w:rsidRPr="00CB7915">
        <w:t xml:space="preserve"> de una pandemia que ya sobrepasa el año de duración</w:t>
      </w:r>
      <w:r w:rsidRPr="00CB7915">
        <w:t xml:space="preserve">. </w:t>
      </w:r>
    </w:p>
    <w:p w14:paraId="750C2216" w14:textId="6994761A" w:rsidR="00466036" w:rsidRPr="00CB7915" w:rsidRDefault="00466036" w:rsidP="006C4C9B">
      <w:pPr>
        <w:pStyle w:val="Prrafodelista"/>
        <w:numPr>
          <w:ilvl w:val="0"/>
          <w:numId w:val="5"/>
        </w:numPr>
        <w:jc w:val="both"/>
      </w:pPr>
      <w:r w:rsidRPr="00CB7915">
        <w:t xml:space="preserve">Si bien la posibilidad de contagio de la COVID-19, en términos médicos generales, es la misma para todos los seres humanos, no todas las personas son afectadas por ella de la misma manera. </w:t>
      </w:r>
    </w:p>
    <w:p w14:paraId="6D849B8D" w14:textId="77777777" w:rsidR="00466036" w:rsidRPr="00CB7915" w:rsidRDefault="00466036" w:rsidP="006C4C9B">
      <w:pPr>
        <w:pStyle w:val="Prrafodelista"/>
        <w:numPr>
          <w:ilvl w:val="0"/>
          <w:numId w:val="5"/>
        </w:numPr>
        <w:jc w:val="both"/>
      </w:pPr>
      <w:r w:rsidRPr="00CB7915">
        <w:t xml:space="preserve">La percepción del riesgo, el cumplimiento de las medidas higiénico sanitarias y otras condicionantes marcan el enfrentamiento a la enfermedad. Entre ellas, destacan diferenciales que tienen que ver con la edad y el sexo –quizás los más evidentes-; pero también con la movilidad de las poblaciones y su morbilidad, las condiciones de sus viviendas, las dinámicas familiares, el desempeño laboral, los roles y estereotipos de género, las tareas de cuidado, los hábitos y comportamientos de vida y consumo, entre otros, que también marcan la propagación de la COVID-19. Es decir, diferenciales sociodemográficos. </w:t>
      </w:r>
    </w:p>
    <w:p w14:paraId="43B98A2A" w14:textId="1C7C0F30" w:rsidR="00985117" w:rsidRPr="00CB7915" w:rsidRDefault="00466036" w:rsidP="006C4C9B">
      <w:pPr>
        <w:pStyle w:val="Prrafodelista"/>
        <w:numPr>
          <w:ilvl w:val="0"/>
          <w:numId w:val="5"/>
        </w:numPr>
        <w:jc w:val="both"/>
      </w:pPr>
      <w:r w:rsidRPr="00CB7915">
        <w:t>En este escenario, la investigación demográfica</w:t>
      </w:r>
      <w:r w:rsidR="005829FF" w:rsidRPr="00CB7915">
        <w:t xml:space="preserve"> </w:t>
      </w:r>
      <w:r w:rsidRPr="00CB7915">
        <w:t xml:space="preserve">se posiciona también como contribución esencial en la búsqueda de esas diferenciaciones que ayudan a comprender mejor la pandemia, y a diseñar políticas y protocolos </w:t>
      </w:r>
      <w:r w:rsidR="00D802DE" w:rsidRPr="00CB7915">
        <w:t>de enfrentamiento más eficaces.</w:t>
      </w:r>
    </w:p>
    <w:p w14:paraId="08C6578D" w14:textId="2C568297" w:rsidR="003F4C15" w:rsidRPr="00CB7915" w:rsidRDefault="005829FF" w:rsidP="006C4C9B">
      <w:pPr>
        <w:jc w:val="both"/>
      </w:pPr>
      <w:r w:rsidRPr="00CB7915">
        <w:lastRenderedPageBreak/>
        <w:t xml:space="preserve">Por segundo año, el UNFPA dedica la celebración del Día Mundial de la Población a las interrelaciones múltiples que se derivan de la COVID-19. </w:t>
      </w:r>
      <w:r w:rsidR="003D177D" w:rsidRPr="00CB7915">
        <w:t>La Nota C</w:t>
      </w:r>
      <w:r w:rsidR="003F4C15" w:rsidRPr="00CB7915">
        <w:t xml:space="preserve">onceptual </w:t>
      </w:r>
      <w:r w:rsidR="006A5B90" w:rsidRPr="00CB7915">
        <w:t>(</w:t>
      </w:r>
      <w:hyperlink r:id="rId9" w:history="1">
        <w:r w:rsidR="006A5B90" w:rsidRPr="00CB7915">
          <w:rPr>
            <w:rStyle w:val="Hipervnculo"/>
          </w:rPr>
          <w:t>https://bit.ly/3hDBVNu</w:t>
        </w:r>
      </w:hyperlink>
      <w:r w:rsidR="006A5B90" w:rsidRPr="00CB7915">
        <w:t xml:space="preserve">) </w:t>
      </w:r>
      <w:r w:rsidR="003F4C15" w:rsidRPr="00CB7915">
        <w:t xml:space="preserve">elaborada por </w:t>
      </w:r>
      <w:r w:rsidRPr="00CB7915">
        <w:t>esa agencia de las Naciones Unidas</w:t>
      </w:r>
      <w:r w:rsidR="00560D33" w:rsidRPr="00CB7915">
        <w:t>,</w:t>
      </w:r>
      <w:r w:rsidRPr="00CB7915">
        <w:t xml:space="preserve"> </w:t>
      </w:r>
      <w:r w:rsidR="003F4C15" w:rsidRPr="00CB7915">
        <w:t xml:space="preserve">ofrece </w:t>
      </w:r>
      <w:r w:rsidR="00560D33" w:rsidRPr="00CB7915">
        <w:t xml:space="preserve">algunas </w:t>
      </w:r>
      <w:r w:rsidR="003F4C15" w:rsidRPr="00CB7915">
        <w:t xml:space="preserve">pistas sobre el contexto en que se inserta esta </w:t>
      </w:r>
      <w:r w:rsidRPr="00CB7915">
        <w:t xml:space="preserve">celebración </w:t>
      </w:r>
      <w:r w:rsidR="003F4C15" w:rsidRPr="00CB7915">
        <w:t>que pueden ser de utilidad para la cobertura que se realice desde los medios</w:t>
      </w:r>
      <w:r w:rsidR="004D67C8" w:rsidRPr="00CB7915">
        <w:t xml:space="preserve"> de comunicación</w:t>
      </w:r>
      <w:r w:rsidR="003F4C15" w:rsidRPr="00CB7915">
        <w:t xml:space="preserve">. </w:t>
      </w:r>
      <w:r w:rsidR="00560D33" w:rsidRPr="00CB7915">
        <w:t>Algunos de s</w:t>
      </w:r>
      <w:r w:rsidR="00D87D19" w:rsidRPr="00CB7915">
        <w:t>us elementos centrales se relacionan a continuación:</w:t>
      </w:r>
    </w:p>
    <w:p w14:paraId="3C195F37" w14:textId="77777777" w:rsidR="003F4C15" w:rsidRPr="00CB7915" w:rsidRDefault="003F4C15" w:rsidP="006C4C9B">
      <w:pPr>
        <w:jc w:val="both"/>
      </w:pPr>
    </w:p>
    <w:p w14:paraId="34669427" w14:textId="4FC31CB1" w:rsidR="003F4C15" w:rsidRPr="00CB7915" w:rsidRDefault="00D87D19" w:rsidP="006C4C9B">
      <w:pPr>
        <w:jc w:val="both"/>
        <w:rPr>
          <w:b/>
          <w:color w:val="000066"/>
          <w:sz w:val="24"/>
          <w:szCs w:val="24"/>
        </w:rPr>
      </w:pPr>
      <w:r w:rsidRPr="00CB7915">
        <w:rPr>
          <w:b/>
          <w:color w:val="000066"/>
          <w:sz w:val="24"/>
          <w:szCs w:val="24"/>
        </w:rPr>
        <w:t>Día Mundial de la Población 2021: Los derechos y las opciones son la respuesta</w:t>
      </w:r>
    </w:p>
    <w:p w14:paraId="5E4E6778" w14:textId="77777777" w:rsidR="003F4C15" w:rsidRPr="00CB7915" w:rsidRDefault="003F4C15" w:rsidP="006C4C9B">
      <w:pPr>
        <w:jc w:val="both"/>
        <w:rPr>
          <w:sz w:val="24"/>
          <w:szCs w:val="24"/>
        </w:rPr>
      </w:pPr>
    </w:p>
    <w:p w14:paraId="00E4557E" w14:textId="5015F597" w:rsidR="000172A2" w:rsidRPr="00CB7915" w:rsidRDefault="000172A2" w:rsidP="006C4C9B">
      <w:pPr>
        <w:pStyle w:val="Default"/>
        <w:numPr>
          <w:ilvl w:val="0"/>
          <w:numId w:val="4"/>
        </w:numPr>
        <w:jc w:val="both"/>
        <w:rPr>
          <w:rFonts w:asciiTheme="minorHAnsi" w:hAnsiTheme="minorHAnsi" w:cstheme="minorBidi"/>
          <w:color w:val="auto"/>
          <w:sz w:val="22"/>
          <w:szCs w:val="22"/>
        </w:rPr>
      </w:pPr>
      <w:r w:rsidRPr="00CB7915">
        <w:rPr>
          <w:rFonts w:asciiTheme="minorHAnsi" w:hAnsiTheme="minorHAnsi" w:cstheme="minorBidi"/>
          <w:color w:val="auto"/>
          <w:sz w:val="22"/>
          <w:szCs w:val="22"/>
        </w:rPr>
        <w:t xml:space="preserve">La pandemia ha dado lugar a una </w:t>
      </w:r>
      <w:r w:rsidR="00560D33" w:rsidRPr="00CB7915">
        <w:rPr>
          <w:rFonts w:asciiTheme="minorHAnsi" w:hAnsiTheme="minorHAnsi" w:cstheme="minorBidi"/>
          <w:color w:val="auto"/>
          <w:sz w:val="22"/>
          <w:szCs w:val="22"/>
        </w:rPr>
        <w:t xml:space="preserve">disminución </w:t>
      </w:r>
      <w:r w:rsidRPr="00CB7915">
        <w:rPr>
          <w:rFonts w:asciiTheme="minorHAnsi" w:hAnsiTheme="minorHAnsi" w:cstheme="minorBidi"/>
          <w:color w:val="auto"/>
          <w:sz w:val="22"/>
          <w:szCs w:val="22"/>
        </w:rPr>
        <w:t>en la efectividad de los sistemas de atención sanitaria, de manera particular en la esfera de la salud sexual y reproductiva. Si bien las personas históricamente retrasan la procreación en tiempos de incertidumbre o crisis, se prevé que las interrupciones en el suministro de anticonceptivos</w:t>
      </w:r>
      <w:r w:rsidR="00560D33" w:rsidRPr="00CB7915">
        <w:rPr>
          <w:rFonts w:asciiTheme="minorHAnsi" w:hAnsiTheme="minorHAnsi" w:cstheme="minorBidi"/>
          <w:color w:val="auto"/>
          <w:sz w:val="22"/>
          <w:szCs w:val="22"/>
        </w:rPr>
        <w:t xml:space="preserve"> provoquen, a nivel regional y global</w:t>
      </w:r>
      <w:r w:rsidR="00313D20" w:rsidRPr="00CB7915">
        <w:rPr>
          <w:rFonts w:asciiTheme="minorHAnsi" w:hAnsiTheme="minorHAnsi" w:cstheme="minorBidi"/>
          <w:color w:val="auto"/>
          <w:sz w:val="22"/>
          <w:szCs w:val="22"/>
        </w:rPr>
        <w:t>,</w:t>
      </w:r>
      <w:r w:rsidRPr="00CB7915">
        <w:rPr>
          <w:rFonts w:asciiTheme="minorHAnsi" w:hAnsiTheme="minorHAnsi" w:cstheme="minorBidi"/>
          <w:color w:val="auto"/>
          <w:sz w:val="22"/>
          <w:szCs w:val="22"/>
        </w:rPr>
        <w:t xml:space="preserve"> un aumento de los embarazos no planificados</w:t>
      </w:r>
      <w:r w:rsidR="00560D33" w:rsidRPr="00CB7915">
        <w:rPr>
          <w:rFonts w:asciiTheme="minorHAnsi" w:hAnsiTheme="minorHAnsi" w:cstheme="minorBidi"/>
          <w:color w:val="auto"/>
          <w:sz w:val="22"/>
          <w:szCs w:val="22"/>
        </w:rPr>
        <w:t>, sobre todo</w:t>
      </w:r>
      <w:r w:rsidRPr="00CB7915">
        <w:rPr>
          <w:rFonts w:asciiTheme="minorHAnsi" w:hAnsiTheme="minorHAnsi" w:cstheme="minorBidi"/>
          <w:color w:val="auto"/>
          <w:sz w:val="22"/>
          <w:szCs w:val="22"/>
        </w:rPr>
        <w:t xml:space="preserve"> entre las personas más vulnerables. Según investigaciones realizadas por el UNFPA, se estima que 12 millones de mujeres sufrieron trastornos en los servicios de planificación familiar.   </w:t>
      </w:r>
    </w:p>
    <w:p w14:paraId="52B06FA8" w14:textId="39579A25" w:rsidR="000172A2" w:rsidRPr="00CB7915" w:rsidRDefault="000172A2" w:rsidP="006C4C9B">
      <w:pPr>
        <w:pStyle w:val="Default"/>
        <w:numPr>
          <w:ilvl w:val="0"/>
          <w:numId w:val="4"/>
        </w:numPr>
        <w:jc w:val="both"/>
        <w:rPr>
          <w:rFonts w:asciiTheme="minorHAnsi" w:hAnsiTheme="minorHAnsi" w:cstheme="minorBidi"/>
          <w:color w:val="auto"/>
          <w:sz w:val="22"/>
          <w:szCs w:val="22"/>
        </w:rPr>
      </w:pPr>
      <w:r w:rsidRPr="00CB7915">
        <w:rPr>
          <w:rFonts w:asciiTheme="minorHAnsi" w:hAnsiTheme="minorHAnsi" w:cstheme="minorBidi"/>
          <w:color w:val="auto"/>
          <w:sz w:val="22"/>
          <w:szCs w:val="22"/>
        </w:rPr>
        <w:t>La pandemia también expuso y exacerbó desigualdades basadas en el género</w:t>
      </w:r>
      <w:r w:rsidR="00313D20" w:rsidRPr="00CB7915">
        <w:rPr>
          <w:rFonts w:asciiTheme="minorHAnsi" w:hAnsiTheme="minorHAnsi" w:cstheme="minorBidi"/>
          <w:color w:val="auto"/>
          <w:sz w:val="22"/>
          <w:szCs w:val="22"/>
        </w:rPr>
        <w:t xml:space="preserve">. La </w:t>
      </w:r>
      <w:r w:rsidRPr="00CB7915">
        <w:rPr>
          <w:rFonts w:asciiTheme="minorHAnsi" w:hAnsiTheme="minorHAnsi" w:cstheme="minorBidi"/>
          <w:color w:val="auto"/>
          <w:sz w:val="22"/>
          <w:szCs w:val="22"/>
        </w:rPr>
        <w:t xml:space="preserve">violencia de género aumentó </w:t>
      </w:r>
      <w:r w:rsidR="00560D33" w:rsidRPr="00CB7915">
        <w:rPr>
          <w:rFonts w:asciiTheme="minorHAnsi" w:hAnsiTheme="minorHAnsi" w:cstheme="minorBidi"/>
          <w:color w:val="auto"/>
          <w:sz w:val="22"/>
          <w:szCs w:val="22"/>
        </w:rPr>
        <w:t>durante el confinamiento</w:t>
      </w:r>
      <w:r w:rsidR="00313D20" w:rsidRPr="00CB7915">
        <w:rPr>
          <w:rFonts w:asciiTheme="minorHAnsi" w:hAnsiTheme="minorHAnsi" w:cstheme="minorBidi"/>
          <w:color w:val="auto"/>
          <w:sz w:val="22"/>
          <w:szCs w:val="22"/>
        </w:rPr>
        <w:t xml:space="preserve"> y u</w:t>
      </w:r>
      <w:r w:rsidRPr="00CB7915">
        <w:rPr>
          <w:rFonts w:asciiTheme="minorHAnsi" w:hAnsiTheme="minorHAnsi" w:cstheme="minorBidi"/>
          <w:color w:val="auto"/>
          <w:sz w:val="22"/>
          <w:szCs w:val="22"/>
        </w:rPr>
        <w:t xml:space="preserve">n número significativo de mujeres abandonaron la fuerza laboral (se eliminaron sus empleos, a menudo de bajos salarios, o bien aumentaron las responsabilidades </w:t>
      </w:r>
      <w:r w:rsidR="00313D20" w:rsidRPr="00CB7915">
        <w:rPr>
          <w:rFonts w:asciiTheme="minorHAnsi" w:hAnsiTheme="minorHAnsi" w:cstheme="minorBidi"/>
          <w:color w:val="auto"/>
          <w:sz w:val="22"/>
          <w:szCs w:val="22"/>
        </w:rPr>
        <w:t>domésticas y de cuidado</w:t>
      </w:r>
      <w:r w:rsidRPr="00CB7915">
        <w:rPr>
          <w:rFonts w:asciiTheme="minorHAnsi" w:hAnsiTheme="minorHAnsi" w:cstheme="minorBidi"/>
          <w:color w:val="auto"/>
          <w:sz w:val="22"/>
          <w:szCs w:val="22"/>
        </w:rPr>
        <w:t xml:space="preserve">) lo cual desestabilizó sus finanzas. </w:t>
      </w:r>
    </w:p>
    <w:p w14:paraId="1B3A4A36" w14:textId="7738BDE6" w:rsidR="00D87D19" w:rsidRPr="00CB7915" w:rsidRDefault="000172A2" w:rsidP="006C4C9B">
      <w:pPr>
        <w:pStyle w:val="Default"/>
        <w:numPr>
          <w:ilvl w:val="0"/>
          <w:numId w:val="4"/>
        </w:numPr>
        <w:jc w:val="both"/>
        <w:rPr>
          <w:rFonts w:asciiTheme="minorHAnsi" w:hAnsiTheme="minorHAnsi" w:cstheme="minorBidi"/>
          <w:color w:val="auto"/>
          <w:sz w:val="22"/>
          <w:szCs w:val="22"/>
        </w:rPr>
      </w:pPr>
      <w:r w:rsidRPr="00CB7915">
        <w:rPr>
          <w:rFonts w:asciiTheme="minorHAnsi" w:hAnsiTheme="minorHAnsi" w:cstheme="minorBidi"/>
          <w:color w:val="auto"/>
          <w:sz w:val="22"/>
          <w:szCs w:val="22"/>
        </w:rPr>
        <w:t xml:space="preserve">Con este telón de fondo, muchos países están expresando una creciente preocupación por los cambios en las tasas de fecundidad. El UNFPA </w:t>
      </w:r>
      <w:r w:rsidR="00D87D19" w:rsidRPr="00CB7915">
        <w:rPr>
          <w:rFonts w:asciiTheme="minorHAnsi" w:hAnsiTheme="minorHAnsi" w:cstheme="minorBidi"/>
          <w:color w:val="auto"/>
          <w:sz w:val="22"/>
          <w:szCs w:val="22"/>
        </w:rPr>
        <w:t>recomienda</w:t>
      </w:r>
      <w:r w:rsidRPr="00CB7915">
        <w:rPr>
          <w:rFonts w:asciiTheme="minorHAnsi" w:hAnsiTheme="minorHAnsi" w:cstheme="minorBidi"/>
          <w:color w:val="auto"/>
          <w:sz w:val="22"/>
          <w:szCs w:val="22"/>
        </w:rPr>
        <w:t xml:space="preserve"> que se dé prioridad a la salud reproductiva y a los derechos mediante el acceso a información y servicios de cara a los cambios demográficos y de fecundidad. </w:t>
      </w:r>
    </w:p>
    <w:p w14:paraId="2AC3D9C0" w14:textId="3E529728" w:rsidR="003F4C15" w:rsidRPr="00CB7915" w:rsidRDefault="000172A2" w:rsidP="006C4C9B">
      <w:pPr>
        <w:pStyle w:val="Default"/>
        <w:numPr>
          <w:ilvl w:val="0"/>
          <w:numId w:val="4"/>
        </w:numPr>
        <w:jc w:val="both"/>
        <w:rPr>
          <w:rFonts w:asciiTheme="minorHAnsi" w:hAnsiTheme="minorHAnsi" w:cstheme="minorHAnsi"/>
          <w:sz w:val="22"/>
          <w:szCs w:val="22"/>
        </w:rPr>
      </w:pPr>
      <w:r w:rsidRPr="00CB7915">
        <w:rPr>
          <w:rFonts w:asciiTheme="minorHAnsi" w:hAnsiTheme="minorHAnsi" w:cstheme="minorBidi"/>
          <w:color w:val="auto"/>
          <w:sz w:val="22"/>
          <w:szCs w:val="22"/>
        </w:rPr>
        <w:t xml:space="preserve">En última instancia, las mujeres deben ser empoderadas en las esferas educativa, económica y política para que ejerzan sus decisiones sobre sus cuerpos y su </w:t>
      </w:r>
      <w:r w:rsidR="00560D33" w:rsidRPr="00CB7915">
        <w:rPr>
          <w:rFonts w:asciiTheme="minorHAnsi" w:hAnsiTheme="minorHAnsi" w:cstheme="minorBidi"/>
          <w:color w:val="auto"/>
          <w:sz w:val="22"/>
          <w:szCs w:val="22"/>
        </w:rPr>
        <w:t>descendencia</w:t>
      </w:r>
      <w:r w:rsidRPr="00CB7915">
        <w:rPr>
          <w:rFonts w:asciiTheme="minorHAnsi" w:hAnsiTheme="minorHAnsi" w:cstheme="minorBidi"/>
          <w:color w:val="auto"/>
          <w:sz w:val="22"/>
          <w:szCs w:val="22"/>
        </w:rPr>
        <w:t>.</w:t>
      </w:r>
    </w:p>
    <w:p w14:paraId="36855D83" w14:textId="0A352EEA" w:rsidR="003F4C15" w:rsidRPr="00CB7915" w:rsidRDefault="003F4C15" w:rsidP="006C4C9B">
      <w:pPr>
        <w:jc w:val="both"/>
        <w:rPr>
          <w:b/>
          <w:sz w:val="28"/>
          <w:szCs w:val="28"/>
        </w:rPr>
      </w:pPr>
    </w:p>
    <w:p w14:paraId="35613E5C" w14:textId="2BA11315" w:rsidR="00D325DD" w:rsidRPr="00CB7915" w:rsidRDefault="00D325DD" w:rsidP="006C4C9B">
      <w:pPr>
        <w:jc w:val="both"/>
        <w:rPr>
          <w:b/>
          <w:color w:val="000066"/>
          <w:sz w:val="24"/>
          <w:szCs w:val="24"/>
        </w:rPr>
      </w:pPr>
      <w:r w:rsidRPr="00CB7915">
        <w:rPr>
          <w:b/>
          <w:color w:val="000066"/>
          <w:sz w:val="24"/>
          <w:szCs w:val="24"/>
        </w:rPr>
        <w:t xml:space="preserve">En Cuba, el Día Mundial de la Población </w:t>
      </w:r>
      <w:r w:rsidR="006A5B90" w:rsidRPr="00CB7915">
        <w:rPr>
          <w:b/>
          <w:color w:val="000066"/>
          <w:sz w:val="24"/>
          <w:szCs w:val="24"/>
        </w:rPr>
        <w:t xml:space="preserve">de 2021 </w:t>
      </w:r>
      <w:r w:rsidRPr="00CB7915">
        <w:rPr>
          <w:b/>
          <w:color w:val="000066"/>
          <w:sz w:val="24"/>
          <w:szCs w:val="24"/>
        </w:rPr>
        <w:t>se dedica a la relación entre la pandemia y la investigación demográfica</w:t>
      </w:r>
      <w:r w:rsidR="006A5B90" w:rsidRPr="00CB7915">
        <w:rPr>
          <w:b/>
          <w:color w:val="000066"/>
          <w:sz w:val="24"/>
          <w:szCs w:val="24"/>
        </w:rPr>
        <w:t>.</w:t>
      </w:r>
    </w:p>
    <w:p w14:paraId="0BA27356" w14:textId="722F6CDA" w:rsidR="00D802DE" w:rsidRPr="00CB7915" w:rsidRDefault="00D802DE" w:rsidP="006C4C9B">
      <w:pPr>
        <w:jc w:val="both"/>
        <w:rPr>
          <w:b/>
          <w:color w:val="000066"/>
          <w:sz w:val="24"/>
          <w:szCs w:val="24"/>
        </w:rPr>
      </w:pPr>
    </w:p>
    <w:p w14:paraId="620E2153" w14:textId="1B8241F4" w:rsidR="006A5B90" w:rsidRPr="00CB7915" w:rsidRDefault="006A5B90" w:rsidP="006C4C9B">
      <w:pPr>
        <w:jc w:val="both"/>
      </w:pPr>
      <w:r w:rsidRPr="00CB7915">
        <w:t>¿Qué elementos atraviesa</w:t>
      </w:r>
      <w:r w:rsidR="004B0E83" w:rsidRPr="00CB7915">
        <w:t>n</w:t>
      </w:r>
      <w:r w:rsidRPr="00CB7915">
        <w:t xml:space="preserve"> esta relación? </w:t>
      </w:r>
    </w:p>
    <w:p w14:paraId="5321499D" w14:textId="06FDAC61" w:rsidR="006A5B90" w:rsidRPr="00CB7915" w:rsidRDefault="006A5B90" w:rsidP="006C4C9B">
      <w:pPr>
        <w:jc w:val="both"/>
      </w:pPr>
    </w:p>
    <w:p w14:paraId="3F11EB6B" w14:textId="1D45D500" w:rsidR="008F66F8" w:rsidRPr="00CB7915" w:rsidRDefault="006A5B90" w:rsidP="006C4C9B">
      <w:pPr>
        <w:pStyle w:val="Prrafodelista"/>
        <w:numPr>
          <w:ilvl w:val="0"/>
          <w:numId w:val="7"/>
        </w:numPr>
        <w:jc w:val="both"/>
      </w:pPr>
      <w:r w:rsidRPr="00CB7915">
        <w:t xml:space="preserve">Si bien desde el punto de vista médico toda la población tiene la misma posibilidad de contagiarse con la COVID-19, el comportamiento de la pandemia demuestra que esa enfermedad afecta a cada persona de manera distinta y, por tanto, resulta esencial estudiar esos diferenciales. </w:t>
      </w:r>
    </w:p>
    <w:p w14:paraId="2D814A7A" w14:textId="2C29D3FC" w:rsidR="0043386C" w:rsidRPr="00CB7915" w:rsidRDefault="006A5B90" w:rsidP="006C4C9B">
      <w:pPr>
        <w:pStyle w:val="Prrafodelista"/>
        <w:numPr>
          <w:ilvl w:val="0"/>
          <w:numId w:val="7"/>
        </w:numPr>
        <w:jc w:val="both"/>
      </w:pPr>
      <w:r w:rsidRPr="00CB7915">
        <w:t xml:space="preserve">Variables demográficas como la edad y el sexo, </w:t>
      </w:r>
      <w:r w:rsidR="008F66F8" w:rsidRPr="00CB7915">
        <w:t xml:space="preserve">pero </w:t>
      </w:r>
      <w:r w:rsidRPr="00CB7915">
        <w:t>también el color de la piel</w:t>
      </w:r>
      <w:r w:rsidR="008F66F8" w:rsidRPr="00CB7915">
        <w:t xml:space="preserve">, la movilidad de las personas entre municipios, provincias y naciones, junto a otros </w:t>
      </w:r>
      <w:r w:rsidRPr="00CB7915">
        <w:t xml:space="preserve">factores socio económicos determinan quién es más vulnerable al SARS-CoV-2, o permiten comprender los elementos múltiples que intervienen en la transmisión del virus, muchos de ellos de orden social. </w:t>
      </w:r>
    </w:p>
    <w:p w14:paraId="541305A8" w14:textId="77777777" w:rsidR="006A5B90" w:rsidRPr="00CB7915" w:rsidRDefault="006A5B90" w:rsidP="006C4C9B">
      <w:pPr>
        <w:pStyle w:val="Prrafodelista"/>
        <w:numPr>
          <w:ilvl w:val="0"/>
          <w:numId w:val="7"/>
        </w:numPr>
        <w:jc w:val="both"/>
      </w:pPr>
      <w:r w:rsidRPr="00CB7915">
        <w:t xml:space="preserve">Por ejemplo, la estructura por edad y sexo de una población tiene un impacto en la mortalidad y la morbilidad, y se pueden apreciar tasas diferenciales por edad en la mortalidad por la COVID-19. En Cuba, el riesgo mayor de morir está en la población mayor de 60 años, aunque </w:t>
      </w:r>
      <w:r w:rsidR="008F66F8" w:rsidRPr="00CB7915">
        <w:t xml:space="preserve">ello </w:t>
      </w:r>
      <w:r w:rsidRPr="00CB7915">
        <w:t>no excluye a otros grupos de edades, como se ha evidenciado en los últimos meses.</w:t>
      </w:r>
    </w:p>
    <w:p w14:paraId="78CCE7FA" w14:textId="5D65D635" w:rsidR="0043386C" w:rsidRPr="00CB7915" w:rsidRDefault="0043386C" w:rsidP="006C4C9B">
      <w:pPr>
        <w:pStyle w:val="Prrafodelista"/>
        <w:numPr>
          <w:ilvl w:val="0"/>
          <w:numId w:val="7"/>
        </w:numPr>
        <w:jc w:val="both"/>
      </w:pPr>
      <w:r w:rsidRPr="00CB7915">
        <w:t xml:space="preserve">Otros diferenciales demográficos y determinantes sociales, así como sus intersecciones, también son importantes para la comprensión y explicación de una situación </w:t>
      </w:r>
      <w:r w:rsidRPr="00CB7915">
        <w:lastRenderedPageBreak/>
        <w:t>epidemiológica como la pandemia de COVID-19. Características como el nivel educacional, el estado conyugal, el color de la piel, la situación laboral, los niveles de ingreso, los tipos de familias</w:t>
      </w:r>
      <w:r w:rsidR="00FA4C7C" w:rsidRPr="00CB7915">
        <w:t>, sus patrones de corresidencia y dinámicas de funcionamiento</w:t>
      </w:r>
      <w:r w:rsidRPr="00CB7915">
        <w:t>, las condiciones higiénico-ambientales</w:t>
      </w:r>
      <w:r w:rsidR="00FA4C7C" w:rsidRPr="00CB7915">
        <w:t xml:space="preserve"> y socioeconómicas</w:t>
      </w:r>
      <w:r w:rsidRPr="00CB7915">
        <w:t xml:space="preserve">, el acceso a los servicios de salud, entre otras, pueden ubicar a las poblaciones en mayores o menores condiciones de vulnerabilidad. </w:t>
      </w:r>
    </w:p>
    <w:p w14:paraId="718D9C87" w14:textId="77777777" w:rsidR="006A5B90" w:rsidRPr="00CB7915" w:rsidRDefault="006A5B90" w:rsidP="006C4C9B">
      <w:pPr>
        <w:pStyle w:val="Prrafodelista"/>
        <w:numPr>
          <w:ilvl w:val="0"/>
          <w:numId w:val="7"/>
        </w:numPr>
        <w:jc w:val="both"/>
      </w:pPr>
      <w:r w:rsidRPr="00CB7915">
        <w:t>Directamente relacionad</w:t>
      </w:r>
      <w:r w:rsidR="008F66F8" w:rsidRPr="00CB7915">
        <w:t>os</w:t>
      </w:r>
      <w:r w:rsidRPr="00CB7915">
        <w:t xml:space="preserve"> con la percepción de riesgo se encuentran los procesos de comunicación en temas de población y salud. El brote de COVID-19 no solo modificó los protocolos de actuación médica ante epidemias de infecciones respiratorias en el mundo, sino que cambió la forma en que la prensa en particular ―y los medios de comunicación en general― manejan las contingencias sanitarias.</w:t>
      </w:r>
    </w:p>
    <w:p w14:paraId="60BAE66B" w14:textId="6865F765" w:rsidR="006A5B90" w:rsidRPr="00CB7915" w:rsidRDefault="006A5B90" w:rsidP="006C4C9B">
      <w:pPr>
        <w:pStyle w:val="Prrafodelista"/>
        <w:numPr>
          <w:ilvl w:val="0"/>
          <w:numId w:val="7"/>
        </w:numPr>
        <w:jc w:val="both"/>
      </w:pPr>
      <w:r w:rsidRPr="00CB7915">
        <w:t xml:space="preserve">Ante la evidencia de una enfermedad nueva y peligrosa, junto a la certeza de que alternativas como la vacunación segura y masiva demorarían en llegar, la información se posicionó como herramienta vital para que las personas adoptaran las medidas de prevención para protegerse y salvar sus vidas. Quiere decir que, en situaciones de contingencia sanitaria, contar con procesos de comunicación eficientes puede hacer el cambio en cuanto a elevar la percepción del riesgo de poblaciones concretas. </w:t>
      </w:r>
    </w:p>
    <w:p w14:paraId="2AD0BE0D" w14:textId="7D0E81B4" w:rsidR="00D802DE" w:rsidRPr="00CB7915" w:rsidRDefault="00D802DE" w:rsidP="00D802DE">
      <w:pPr>
        <w:jc w:val="both"/>
      </w:pPr>
    </w:p>
    <w:p w14:paraId="4B48138B" w14:textId="365847D9" w:rsidR="0043386C" w:rsidRPr="00CB7915" w:rsidRDefault="006C4C9B" w:rsidP="006C4C9B">
      <w:pPr>
        <w:jc w:val="both"/>
        <w:rPr>
          <w:b/>
          <w:color w:val="000066"/>
          <w:sz w:val="24"/>
          <w:szCs w:val="24"/>
        </w:rPr>
      </w:pPr>
      <w:r w:rsidRPr="00CB7915">
        <w:rPr>
          <w:b/>
          <w:color w:val="000066"/>
          <w:sz w:val="24"/>
          <w:szCs w:val="24"/>
        </w:rPr>
        <w:t xml:space="preserve">10 recomendaciones </w:t>
      </w:r>
      <w:r w:rsidR="0043386C" w:rsidRPr="00CB7915">
        <w:rPr>
          <w:b/>
          <w:color w:val="000066"/>
          <w:sz w:val="24"/>
          <w:szCs w:val="24"/>
        </w:rPr>
        <w:t xml:space="preserve">para informar </w:t>
      </w:r>
      <w:r w:rsidR="006A463B" w:rsidRPr="00CB7915">
        <w:rPr>
          <w:b/>
          <w:color w:val="000066"/>
          <w:sz w:val="24"/>
          <w:szCs w:val="24"/>
        </w:rPr>
        <w:t xml:space="preserve">sobre </w:t>
      </w:r>
      <w:r w:rsidR="0043386C" w:rsidRPr="00CB7915">
        <w:rPr>
          <w:b/>
          <w:color w:val="000066"/>
          <w:sz w:val="24"/>
          <w:szCs w:val="24"/>
        </w:rPr>
        <w:t>la COVID-19</w:t>
      </w:r>
      <w:r w:rsidR="00313D20" w:rsidRPr="00CB7915">
        <w:rPr>
          <w:b/>
          <w:color w:val="000066"/>
          <w:sz w:val="24"/>
          <w:szCs w:val="24"/>
        </w:rPr>
        <w:t>,</w:t>
      </w:r>
      <w:r w:rsidR="0043386C" w:rsidRPr="00CB7915">
        <w:rPr>
          <w:b/>
          <w:color w:val="000066"/>
          <w:sz w:val="24"/>
          <w:szCs w:val="24"/>
        </w:rPr>
        <w:t xml:space="preserve"> </w:t>
      </w:r>
      <w:r w:rsidR="0030426D" w:rsidRPr="00CB7915">
        <w:rPr>
          <w:b/>
          <w:color w:val="000066"/>
          <w:sz w:val="24"/>
          <w:szCs w:val="24"/>
        </w:rPr>
        <w:t>atendiendo a</w:t>
      </w:r>
      <w:r w:rsidR="0043386C" w:rsidRPr="00CB7915">
        <w:rPr>
          <w:b/>
          <w:color w:val="000066"/>
          <w:sz w:val="24"/>
          <w:szCs w:val="24"/>
        </w:rPr>
        <w:t xml:space="preserve"> sus relaciones con las dinámicas demográficas </w:t>
      </w:r>
      <w:r w:rsidR="00FA4C7C" w:rsidRPr="00CB7915">
        <w:rPr>
          <w:b/>
          <w:color w:val="000066"/>
          <w:sz w:val="24"/>
          <w:szCs w:val="24"/>
        </w:rPr>
        <w:t>de Cuba</w:t>
      </w:r>
    </w:p>
    <w:p w14:paraId="4EDE59F1" w14:textId="77777777" w:rsidR="004D67C8" w:rsidRPr="00CB7915" w:rsidRDefault="004D67C8" w:rsidP="006C4C9B">
      <w:pPr>
        <w:jc w:val="both"/>
        <w:rPr>
          <w:b/>
          <w:color w:val="000066"/>
          <w:sz w:val="24"/>
          <w:szCs w:val="24"/>
        </w:rPr>
      </w:pPr>
    </w:p>
    <w:p w14:paraId="272285C0" w14:textId="2C853232" w:rsidR="007045CC" w:rsidRPr="00CB7915" w:rsidRDefault="006A463B" w:rsidP="004D67C8">
      <w:pPr>
        <w:pStyle w:val="Prrafodelista"/>
        <w:keepLines/>
        <w:numPr>
          <w:ilvl w:val="0"/>
          <w:numId w:val="14"/>
        </w:numPr>
        <w:ind w:left="1077" w:hanging="357"/>
        <w:jc w:val="both"/>
        <w:rPr>
          <w:rFonts w:cs="Calibri"/>
          <w:color w:val="000000"/>
          <w:lang w:val="es-ES_tradnl"/>
        </w:rPr>
      </w:pPr>
      <w:r w:rsidRPr="00CB7915">
        <w:rPr>
          <w:rFonts w:cs="Calibri"/>
          <w:lang w:val="es-ES_tradnl"/>
        </w:rPr>
        <w:t xml:space="preserve">Ejercer </w:t>
      </w:r>
      <w:r w:rsidR="007045CC" w:rsidRPr="00CB7915">
        <w:rPr>
          <w:rFonts w:cs="Calibri"/>
          <w:lang w:val="es-ES_tradnl"/>
        </w:rPr>
        <w:t xml:space="preserve">un periodismo </w:t>
      </w:r>
      <w:r w:rsidR="007045CC" w:rsidRPr="00CB7915">
        <w:rPr>
          <w:rFonts w:cs="Calibri"/>
          <w:color w:val="000000"/>
          <w:lang w:val="es-ES_tradnl"/>
        </w:rPr>
        <w:t>ético, responsable y comprometido socialmente; que no sea sensacionalista ni alarmista y que transmita hechos e información veraz sobre la enfermedad, no miedos.</w:t>
      </w:r>
    </w:p>
    <w:p w14:paraId="18304224" w14:textId="2ACC480B" w:rsidR="007045CC" w:rsidRPr="00CB7915" w:rsidRDefault="006A463B" w:rsidP="004D67C8">
      <w:pPr>
        <w:pStyle w:val="Prrafodelista"/>
        <w:keepLines/>
        <w:numPr>
          <w:ilvl w:val="0"/>
          <w:numId w:val="14"/>
        </w:numPr>
        <w:ind w:left="1077" w:hanging="357"/>
        <w:jc w:val="both"/>
        <w:rPr>
          <w:lang w:val="es-ES_tradnl"/>
        </w:rPr>
      </w:pPr>
      <w:r w:rsidRPr="00CB7915">
        <w:rPr>
          <w:rFonts w:cs="Calibri"/>
          <w:color w:val="000000"/>
          <w:lang w:val="es-ES_tradnl"/>
        </w:rPr>
        <w:t>A</w:t>
      </w:r>
      <w:r w:rsidR="006948B6" w:rsidRPr="00CB7915">
        <w:rPr>
          <w:rFonts w:cs="Calibri"/>
          <w:color w:val="000000"/>
          <w:lang w:val="es-ES_tradnl"/>
        </w:rPr>
        <w:t xml:space="preserve">cudir a </w:t>
      </w:r>
      <w:r w:rsidR="006C4C9B" w:rsidRPr="00CB7915">
        <w:rPr>
          <w:rFonts w:cs="Calibri"/>
          <w:color w:val="000000"/>
          <w:lang w:val="es-ES_tradnl"/>
        </w:rPr>
        <w:t xml:space="preserve">estadísticas y a </w:t>
      </w:r>
      <w:r w:rsidR="007045CC" w:rsidRPr="00CB7915">
        <w:rPr>
          <w:rFonts w:cs="Calibri"/>
          <w:color w:val="000000"/>
          <w:lang w:val="es-ES_tradnl"/>
        </w:rPr>
        <w:t>fuentes confiables, cien</w:t>
      </w:r>
      <w:r w:rsidR="006C7880" w:rsidRPr="00CB7915">
        <w:rPr>
          <w:rFonts w:cs="Calibri"/>
          <w:color w:val="000000"/>
          <w:lang w:val="es-ES_tradnl"/>
        </w:rPr>
        <w:t>tíficas, verídicas y chequeadas</w:t>
      </w:r>
      <w:r w:rsidR="006C4C9B" w:rsidRPr="00CB7915">
        <w:rPr>
          <w:rFonts w:cs="Calibri"/>
          <w:color w:val="000000"/>
          <w:lang w:val="es-ES_tradnl"/>
        </w:rPr>
        <w:t xml:space="preserve">. Incluye </w:t>
      </w:r>
      <w:r w:rsidR="006C7880" w:rsidRPr="00CB7915">
        <w:rPr>
          <w:rFonts w:cs="Calibri"/>
          <w:color w:val="000000"/>
          <w:lang w:val="es-ES_tradnl"/>
        </w:rPr>
        <w:t>c</w:t>
      </w:r>
      <w:r w:rsidR="006948B6" w:rsidRPr="00CB7915">
        <w:rPr>
          <w:rFonts w:cs="Calibri"/>
          <w:color w:val="000000"/>
          <w:lang w:val="es-ES_tradnl"/>
        </w:rPr>
        <w:t>itar a personas de la ciencia, la investigación</w:t>
      </w:r>
      <w:r w:rsidR="006C4C9B" w:rsidRPr="00CB7915">
        <w:rPr>
          <w:rFonts w:cs="Calibri"/>
          <w:color w:val="000000"/>
          <w:lang w:val="es-ES_tradnl"/>
        </w:rPr>
        <w:t xml:space="preserve"> o</w:t>
      </w:r>
      <w:r w:rsidR="006948B6" w:rsidRPr="00CB7915">
        <w:rPr>
          <w:rFonts w:cs="Calibri"/>
          <w:color w:val="000000"/>
          <w:lang w:val="es-ES_tradnl"/>
        </w:rPr>
        <w:t xml:space="preserve"> la academia</w:t>
      </w:r>
      <w:r w:rsidR="007045CC" w:rsidRPr="00CB7915">
        <w:rPr>
          <w:rFonts w:cs="Calibri"/>
          <w:color w:val="000000"/>
          <w:lang w:val="es-ES_tradnl"/>
        </w:rPr>
        <w:t>, que despejen dudas y lleven claridad a la población sobre la situación.</w:t>
      </w:r>
    </w:p>
    <w:p w14:paraId="0E662C2F" w14:textId="7C35BE7E" w:rsidR="007045CC" w:rsidRPr="00CB7915" w:rsidRDefault="006A463B" w:rsidP="004D67C8">
      <w:pPr>
        <w:pStyle w:val="Prrafodelista"/>
        <w:keepLines/>
        <w:numPr>
          <w:ilvl w:val="0"/>
          <w:numId w:val="14"/>
        </w:numPr>
        <w:ind w:left="1077" w:hanging="357"/>
        <w:jc w:val="both"/>
        <w:rPr>
          <w:rFonts w:cs="Calibri"/>
          <w:color w:val="000000"/>
          <w:lang w:val="es-ES_tradnl"/>
        </w:rPr>
      </w:pPr>
      <w:r w:rsidRPr="00CB7915">
        <w:rPr>
          <w:rFonts w:cs="Calibri"/>
          <w:color w:val="000000"/>
          <w:lang w:val="es-ES_tradnl"/>
        </w:rPr>
        <w:t>R</w:t>
      </w:r>
      <w:r w:rsidR="007045CC" w:rsidRPr="00CB7915">
        <w:rPr>
          <w:rFonts w:cs="Calibri"/>
          <w:color w:val="000000"/>
          <w:lang w:val="es-ES_tradnl"/>
        </w:rPr>
        <w:t xml:space="preserve">eflejar </w:t>
      </w:r>
      <w:r w:rsidR="008D362C" w:rsidRPr="00CB7915">
        <w:rPr>
          <w:rFonts w:cs="Calibri"/>
          <w:color w:val="000000"/>
          <w:lang w:val="es-ES_tradnl"/>
        </w:rPr>
        <w:t>historias de superación de pacientes o comunidades que toman medidas para enfrentar la enfermedad</w:t>
      </w:r>
      <w:r w:rsidR="008D362C" w:rsidRPr="00CB7915">
        <w:rPr>
          <w:rFonts w:cs="Calibri"/>
          <w:color w:val="000000"/>
          <w:lang w:val="es-ES_tradnl"/>
        </w:rPr>
        <w:t xml:space="preserve">, pero también contar </w:t>
      </w:r>
      <w:r w:rsidR="007045CC" w:rsidRPr="00CB7915">
        <w:rPr>
          <w:rFonts w:cs="Calibri"/>
          <w:color w:val="000000"/>
          <w:lang w:val="es-ES_tradnl"/>
        </w:rPr>
        <w:t>la situación que atraviesa el personal de salud</w:t>
      </w:r>
      <w:r w:rsidR="006948B6" w:rsidRPr="00CB7915">
        <w:rPr>
          <w:rFonts w:cs="Calibri"/>
          <w:color w:val="000000"/>
          <w:lang w:val="es-ES_tradnl"/>
        </w:rPr>
        <w:t>,</w:t>
      </w:r>
      <w:r w:rsidR="008D362C" w:rsidRPr="00CB7915">
        <w:rPr>
          <w:rFonts w:cs="Calibri"/>
          <w:color w:val="000000"/>
          <w:lang w:val="es-ES_tradnl"/>
        </w:rPr>
        <w:t xml:space="preserve"> el trabajo que desempeñan y sus vivencias</w:t>
      </w:r>
      <w:r w:rsidR="006948B6" w:rsidRPr="00CB7915">
        <w:rPr>
          <w:rFonts w:cs="Calibri"/>
          <w:color w:val="000000"/>
          <w:lang w:val="es-ES_tradnl"/>
        </w:rPr>
        <w:t>.</w:t>
      </w:r>
      <w:r w:rsidR="007045CC" w:rsidRPr="00CB7915">
        <w:rPr>
          <w:rFonts w:cs="Calibri"/>
          <w:color w:val="000000"/>
          <w:lang w:val="es-ES_tradnl"/>
        </w:rPr>
        <w:t xml:space="preserve"> </w:t>
      </w:r>
    </w:p>
    <w:p w14:paraId="00B9B708" w14:textId="53F4CEF4" w:rsidR="007045CC" w:rsidRPr="00CB7915" w:rsidRDefault="006A463B" w:rsidP="004D67C8">
      <w:pPr>
        <w:pStyle w:val="Prrafodelista"/>
        <w:keepLines/>
        <w:numPr>
          <w:ilvl w:val="0"/>
          <w:numId w:val="14"/>
        </w:numPr>
        <w:ind w:left="1077" w:hanging="357"/>
        <w:jc w:val="both"/>
        <w:rPr>
          <w:rFonts w:cs="Calibri"/>
          <w:color w:val="000000"/>
          <w:lang w:val="es-ES_tradnl"/>
        </w:rPr>
      </w:pPr>
      <w:r w:rsidRPr="00CB7915">
        <w:rPr>
          <w:rFonts w:cs="Calibri"/>
          <w:color w:val="000000"/>
          <w:lang w:val="es-ES_tradnl"/>
        </w:rPr>
        <w:t>R</w:t>
      </w:r>
      <w:r w:rsidR="007045CC" w:rsidRPr="00CB7915">
        <w:rPr>
          <w:rFonts w:cs="Calibri"/>
          <w:color w:val="000000"/>
          <w:lang w:val="es-ES_tradnl"/>
        </w:rPr>
        <w:t>espetar la intimidad de pacientes</w:t>
      </w:r>
      <w:r w:rsidR="006948B6" w:rsidRPr="00CB7915">
        <w:rPr>
          <w:rFonts w:cs="Calibri"/>
          <w:color w:val="000000"/>
          <w:lang w:val="es-ES_tradnl"/>
        </w:rPr>
        <w:t xml:space="preserve"> y otras personas afectadas</w:t>
      </w:r>
      <w:r w:rsidRPr="00CB7915">
        <w:rPr>
          <w:rFonts w:cs="Calibri"/>
          <w:color w:val="000000"/>
          <w:lang w:val="es-ES_tradnl"/>
        </w:rPr>
        <w:t>, evitando</w:t>
      </w:r>
      <w:r w:rsidR="007045CC" w:rsidRPr="00CB7915">
        <w:rPr>
          <w:rFonts w:cs="Calibri"/>
          <w:color w:val="000000"/>
          <w:lang w:val="es-ES_tradnl"/>
        </w:rPr>
        <w:t xml:space="preserve"> revelar su identidad o proporcionar información personal detallada sin consentimiento.</w:t>
      </w:r>
    </w:p>
    <w:p w14:paraId="36C05A5D" w14:textId="0547EC0F" w:rsidR="007045CC" w:rsidRPr="00CB7915" w:rsidRDefault="007045CC" w:rsidP="004D67C8">
      <w:pPr>
        <w:keepLines/>
        <w:numPr>
          <w:ilvl w:val="0"/>
          <w:numId w:val="14"/>
        </w:numPr>
        <w:ind w:left="1077" w:hanging="357"/>
        <w:contextualSpacing/>
        <w:jc w:val="both"/>
      </w:pPr>
      <w:r w:rsidRPr="00CB7915">
        <w:t xml:space="preserve">Cada cambio de protocolo o de fase debe acompañarse de indicaciones para articular procesos de comunicación que incorporen la novedad del contexto sanitario, sin desmovilizar aquellas medidas que deben mantenerse. </w:t>
      </w:r>
      <w:r w:rsidR="006A463B" w:rsidRPr="00CB7915">
        <w:t>A</w:t>
      </w:r>
      <w:r w:rsidRPr="00CB7915">
        <w:t xml:space="preserve"> medida que se avanza hacia el control de la enfermedad, se deben generar mensajes atractivos sobre lo que NO se debe desmovilizar, como el uso del nasobuco o el distanciamiento social.  </w:t>
      </w:r>
    </w:p>
    <w:p w14:paraId="78E59B49" w14:textId="77777777" w:rsidR="008D362C" w:rsidRPr="00CB7915" w:rsidRDefault="008D362C" w:rsidP="008D362C">
      <w:pPr>
        <w:keepLines/>
        <w:numPr>
          <w:ilvl w:val="0"/>
          <w:numId w:val="14"/>
        </w:numPr>
        <w:ind w:left="1077" w:hanging="357"/>
        <w:contextualSpacing/>
        <w:jc w:val="both"/>
      </w:pPr>
      <w:r w:rsidRPr="00CB7915">
        <w:t>Documentar la urgencia de acudir a los servicios de salud ante el primer síntoma. Mostrar con claridad la relación entre la demora en acceder a los servicios y la evolución hacia formas graves de la enfermedad.</w:t>
      </w:r>
    </w:p>
    <w:p w14:paraId="4A1ECD69" w14:textId="17763D2B" w:rsidR="007045CC" w:rsidRPr="00CB7915" w:rsidRDefault="007045CC" w:rsidP="004D67C8">
      <w:pPr>
        <w:keepLines/>
        <w:numPr>
          <w:ilvl w:val="0"/>
          <w:numId w:val="14"/>
        </w:numPr>
        <w:ind w:left="1077" w:hanging="357"/>
        <w:contextualSpacing/>
        <w:jc w:val="both"/>
      </w:pPr>
      <w:r w:rsidRPr="00CB7915">
        <w:t>Diversi</w:t>
      </w:r>
      <w:r w:rsidR="006C4C9B" w:rsidRPr="00CB7915">
        <w:t>ficar mensajes según la diversidad de</w:t>
      </w:r>
      <w:r w:rsidRPr="00CB7915">
        <w:t xml:space="preserve"> públicos</w:t>
      </w:r>
      <w:r w:rsidR="006C4C9B" w:rsidRPr="00CB7915">
        <w:t xml:space="preserve"> y soportes</w:t>
      </w:r>
      <w:r w:rsidRPr="00CB7915">
        <w:t xml:space="preserve">. Es muy </w:t>
      </w:r>
      <w:r w:rsidR="00BA0B12" w:rsidRPr="00CB7915">
        <w:t>i</w:t>
      </w:r>
      <w:r w:rsidRPr="00CB7915">
        <w:t>mportante</w:t>
      </w:r>
      <w:r w:rsidR="006C4C9B" w:rsidRPr="00CB7915">
        <w:t xml:space="preserve">, por ejemplo, </w:t>
      </w:r>
      <w:r w:rsidRPr="00CB7915">
        <w:t xml:space="preserve">diseñar </w:t>
      </w:r>
      <w:r w:rsidRPr="00CB7915">
        <w:rPr>
          <w:bCs/>
        </w:rPr>
        <w:t>líneas de mensaje</w:t>
      </w:r>
      <w:r w:rsidR="006C4C9B" w:rsidRPr="00CB7915">
        <w:rPr>
          <w:bCs/>
        </w:rPr>
        <w:t xml:space="preserve"> específicas </w:t>
      </w:r>
      <w:r w:rsidRPr="00CB7915">
        <w:rPr>
          <w:bCs/>
        </w:rPr>
        <w:t xml:space="preserve">para </w:t>
      </w:r>
      <w:r w:rsidR="00BA0B12" w:rsidRPr="00CB7915">
        <w:t>las personas más jóvenes, teniendo en cuenta que demandan otros lenguajes</w:t>
      </w:r>
      <w:r w:rsidR="006C4C9B" w:rsidRPr="00CB7915">
        <w:t xml:space="preserve"> y acuden a otras vías de información; </w:t>
      </w:r>
      <w:r w:rsidR="00BA0B12" w:rsidRPr="00CB7915">
        <w:t xml:space="preserve">o para </w:t>
      </w:r>
      <w:r w:rsidRPr="00CB7915">
        <w:rPr>
          <w:bCs/>
        </w:rPr>
        <w:t>las familias</w:t>
      </w:r>
      <w:r w:rsidRPr="00CB7915">
        <w:t xml:space="preserve">, de acuerdo con el impacto que están teniendo en la propagación del virus. </w:t>
      </w:r>
    </w:p>
    <w:p w14:paraId="1ABB1E32" w14:textId="6F505C9B" w:rsidR="006948B6" w:rsidRPr="00CB7915" w:rsidRDefault="006948B6" w:rsidP="004D67C8">
      <w:pPr>
        <w:keepLines/>
        <w:numPr>
          <w:ilvl w:val="0"/>
          <w:numId w:val="14"/>
        </w:numPr>
        <w:ind w:left="1077" w:hanging="357"/>
        <w:contextualSpacing/>
        <w:jc w:val="both"/>
      </w:pPr>
      <w:r w:rsidRPr="00CB7915">
        <w:lastRenderedPageBreak/>
        <w:t>Tener en cuenta siempre enfoques de género y de derechos</w:t>
      </w:r>
      <w:r w:rsidR="00BA0B12" w:rsidRPr="00CB7915">
        <w:t>. La pandemia impacta de manera diferente a mujeres, hombres</w:t>
      </w:r>
      <w:r w:rsidR="006C4C9B" w:rsidRPr="00CB7915">
        <w:t xml:space="preserve">, </w:t>
      </w:r>
      <w:r w:rsidR="00BA0B12" w:rsidRPr="00CB7915">
        <w:t>personas con orientaciones e identidades de género diversas</w:t>
      </w:r>
      <w:r w:rsidR="006C4C9B" w:rsidRPr="00CB7915">
        <w:t xml:space="preserve"> o con otros diferenciales según edad, lugar de residencia, nivel educacional o color de la piel, por citar solo algunos</w:t>
      </w:r>
      <w:r w:rsidR="00BA0B12" w:rsidRPr="00CB7915">
        <w:t xml:space="preserve">.  Investigaciones múltiples documentan, por </w:t>
      </w:r>
      <w:r w:rsidR="006C4C9B" w:rsidRPr="00CB7915">
        <w:t>ejemplo, el</w:t>
      </w:r>
      <w:r w:rsidRPr="00CB7915">
        <w:t xml:space="preserve"> incremento de los niveles de sobrecarga doméstica y de cuidado </w:t>
      </w:r>
      <w:r w:rsidR="00BA0B12" w:rsidRPr="00CB7915">
        <w:t xml:space="preserve">sobre las mujeres, </w:t>
      </w:r>
      <w:r w:rsidRPr="00CB7915">
        <w:t>derivados del confinamiento y e</w:t>
      </w:r>
      <w:r w:rsidR="00BA0B12" w:rsidRPr="00CB7915">
        <w:t xml:space="preserve">l </w:t>
      </w:r>
      <w:r w:rsidRPr="00CB7915">
        <w:t xml:space="preserve">trabajo a distancia; pero también de cómo ese mismo factor incrementa los riesgos de violencia familiar y de género. </w:t>
      </w:r>
    </w:p>
    <w:p w14:paraId="789D5489" w14:textId="5D8ECA1B" w:rsidR="006948B6" w:rsidRPr="00CB7915" w:rsidRDefault="007045CC" w:rsidP="004D67C8">
      <w:pPr>
        <w:keepLines/>
        <w:numPr>
          <w:ilvl w:val="0"/>
          <w:numId w:val="14"/>
        </w:numPr>
        <w:ind w:left="1077" w:hanging="357"/>
        <w:contextualSpacing/>
        <w:jc w:val="both"/>
      </w:pPr>
      <w:r w:rsidRPr="00CB7915">
        <w:t xml:space="preserve">No culpabilizar </w:t>
      </w:r>
      <w:r w:rsidR="006948B6" w:rsidRPr="00CB7915">
        <w:t>a las personas por el contagio de sus familias</w:t>
      </w:r>
      <w:r w:rsidR="006A463B" w:rsidRPr="00CB7915">
        <w:t>. N</w:t>
      </w:r>
      <w:r w:rsidR="006948B6" w:rsidRPr="00CB7915">
        <w:t xml:space="preserve">o siempre hay una irresponsabilidad detrás del contagio. </w:t>
      </w:r>
      <w:r w:rsidR="004D67C8" w:rsidRPr="00CB7915">
        <w:t>Es importante r</w:t>
      </w:r>
      <w:r w:rsidRPr="00CB7915">
        <w:t xml:space="preserve">eforzar los mensajes dirigidos a elevar la percepción de riesgo a través </w:t>
      </w:r>
      <w:r w:rsidR="006C4C9B" w:rsidRPr="00CB7915">
        <w:t>de testimonios</w:t>
      </w:r>
      <w:r w:rsidRPr="00CB7915">
        <w:t xml:space="preserve"> de personas que han padecido la enfermedad y expliquen cómo se contagiaron</w:t>
      </w:r>
      <w:r w:rsidR="00A96710" w:rsidRPr="00CB7915">
        <w:t>.</w:t>
      </w:r>
      <w:r w:rsidRPr="00CB7915">
        <w:t xml:space="preserve"> </w:t>
      </w:r>
    </w:p>
    <w:p w14:paraId="46C0FFAF" w14:textId="30DAC247" w:rsidR="007045CC" w:rsidRPr="00CB7915" w:rsidRDefault="00BA0B12" w:rsidP="004D67C8">
      <w:pPr>
        <w:keepLines/>
        <w:numPr>
          <w:ilvl w:val="0"/>
          <w:numId w:val="14"/>
        </w:numPr>
        <w:ind w:left="1077" w:hanging="357"/>
        <w:contextualSpacing/>
        <w:jc w:val="both"/>
      </w:pPr>
      <w:r w:rsidRPr="00CB7915">
        <w:t>E</w:t>
      </w:r>
      <w:r w:rsidR="006948B6" w:rsidRPr="00CB7915">
        <w:t>xplicar que l</w:t>
      </w:r>
      <w:r w:rsidR="007045CC" w:rsidRPr="00CB7915">
        <w:t>a vacuna no es una varita mágica</w:t>
      </w:r>
      <w:r w:rsidR="004D67C8" w:rsidRPr="00CB7915">
        <w:t>, que las personas siguen infectándose y transmitiendo el virus, aunque no desarrollen síntomas</w:t>
      </w:r>
      <w:r w:rsidR="007045CC" w:rsidRPr="00CB7915">
        <w:t xml:space="preserve">. </w:t>
      </w:r>
      <w:r w:rsidRPr="00CB7915">
        <w:t xml:space="preserve">Insistir en que </w:t>
      </w:r>
      <w:r w:rsidR="007045CC" w:rsidRPr="00CB7915">
        <w:t xml:space="preserve">no </w:t>
      </w:r>
      <w:r w:rsidRPr="00CB7915">
        <w:t xml:space="preserve">se deben </w:t>
      </w:r>
      <w:r w:rsidR="007045CC" w:rsidRPr="00CB7915">
        <w:t>desmovilizar las medidas, ni la intensidad del tratamiento mediático</w:t>
      </w:r>
      <w:r w:rsidR="004D67C8" w:rsidRPr="00CB7915">
        <w:t xml:space="preserve"> o el autocuidado</w:t>
      </w:r>
      <w:r w:rsidR="007045CC" w:rsidRPr="00CB7915">
        <w:t>, aunque mejore coyunturalmente la contingencia sanitaria.</w:t>
      </w:r>
    </w:p>
    <w:p w14:paraId="17DAB557" w14:textId="77777777" w:rsidR="006C4C9B" w:rsidRPr="00CB7915" w:rsidRDefault="006C4C9B" w:rsidP="006C4C9B">
      <w:pPr>
        <w:jc w:val="both"/>
        <w:rPr>
          <w:b/>
          <w:color w:val="000066"/>
          <w:sz w:val="24"/>
          <w:szCs w:val="24"/>
        </w:rPr>
      </w:pPr>
    </w:p>
    <w:p w14:paraId="27A85B6A" w14:textId="62029353" w:rsidR="003F4C15" w:rsidRPr="00CB7915" w:rsidRDefault="00852AEE" w:rsidP="006C4C9B">
      <w:pPr>
        <w:jc w:val="both"/>
        <w:rPr>
          <w:b/>
          <w:color w:val="000066"/>
          <w:sz w:val="24"/>
          <w:szCs w:val="24"/>
        </w:rPr>
      </w:pPr>
      <w:r w:rsidRPr="00CB7915">
        <w:rPr>
          <w:b/>
          <w:color w:val="000066"/>
          <w:sz w:val="24"/>
          <w:szCs w:val="24"/>
        </w:rPr>
        <w:t>Recursos informativos</w:t>
      </w:r>
    </w:p>
    <w:p w14:paraId="00C7B506" w14:textId="77777777" w:rsidR="003F4C15" w:rsidRPr="00CB7915" w:rsidRDefault="003F4C15" w:rsidP="006C4C9B">
      <w:pPr>
        <w:jc w:val="both"/>
        <w:rPr>
          <w:b/>
          <w:sz w:val="28"/>
          <w:szCs w:val="28"/>
        </w:rPr>
      </w:pPr>
    </w:p>
    <w:p w14:paraId="08784D8C" w14:textId="77777777" w:rsidR="00EE517A" w:rsidRPr="00CB7915" w:rsidRDefault="00EE517A" w:rsidP="006C4C9B">
      <w:pPr>
        <w:jc w:val="both"/>
      </w:pPr>
      <w:r w:rsidRPr="00CB7915">
        <w:t>Internet y las redes sociales pueden ser una fuente útil de información para las coberturas periodísticas, no solo a través de las descargas de documentos sino por la posibilidad que brindan las redes sociales de entrar en contacto con las principales fuentes de información.</w:t>
      </w:r>
      <w:r w:rsidR="00EC6D54" w:rsidRPr="00CB7915">
        <w:t xml:space="preserve"> </w:t>
      </w:r>
      <w:r w:rsidRPr="00CB7915">
        <w:t xml:space="preserve">Para </w:t>
      </w:r>
      <w:r w:rsidR="005771C7" w:rsidRPr="00CB7915">
        <w:t xml:space="preserve">acceder a más información relacionada con los temas centrales de este Día Mundial de la Población </w:t>
      </w:r>
      <w:r w:rsidRPr="00CB7915">
        <w:t>ponemos a disposición un grupo de enlaces que pueden ser de utilidad.</w:t>
      </w:r>
      <w:r w:rsidR="007027B7" w:rsidRPr="00CB7915">
        <w:t xml:space="preserve"> </w:t>
      </w:r>
    </w:p>
    <w:p w14:paraId="0A43A757" w14:textId="77777777" w:rsidR="00687440" w:rsidRPr="00CB7915" w:rsidRDefault="00687440" w:rsidP="006C4C9B">
      <w:pPr>
        <w:jc w:val="both"/>
      </w:pPr>
    </w:p>
    <w:p w14:paraId="60776B6A" w14:textId="77777777" w:rsidR="00687440" w:rsidRPr="00CB7915" w:rsidRDefault="00687440" w:rsidP="006C4C9B">
      <w:pPr>
        <w:jc w:val="both"/>
        <w:rPr>
          <w:b/>
          <w:color w:val="000066"/>
          <w:lang w:val="es-PA"/>
        </w:rPr>
      </w:pPr>
      <w:r w:rsidRPr="00CB7915">
        <w:rPr>
          <w:b/>
          <w:color w:val="000066"/>
          <w:lang w:val="es-PA"/>
        </w:rPr>
        <w:t>Fuentes nacionales</w:t>
      </w:r>
    </w:p>
    <w:p w14:paraId="6060A98B" w14:textId="77777777" w:rsidR="00687440" w:rsidRPr="00CB7915" w:rsidRDefault="00687440" w:rsidP="006C4C9B">
      <w:pPr>
        <w:jc w:val="both"/>
        <w:rPr>
          <w:sz w:val="24"/>
          <w:szCs w:val="24"/>
        </w:rPr>
      </w:pPr>
    </w:p>
    <w:p w14:paraId="77552E88" w14:textId="77777777" w:rsidR="00687440" w:rsidRPr="00CB7915" w:rsidRDefault="001669AF" w:rsidP="006C4C9B">
      <w:pPr>
        <w:jc w:val="both"/>
      </w:pPr>
      <w:hyperlink r:id="rId10" w:history="1">
        <w:r w:rsidR="00687440" w:rsidRPr="00CB7915">
          <w:rPr>
            <w:rStyle w:val="Hipervnculo"/>
          </w:rPr>
          <w:t>Demografía y COVID-19: Diferenciales sociales y epidemiológicos de una pandemia</w:t>
        </w:r>
      </w:hyperlink>
    </w:p>
    <w:p w14:paraId="19E70CF9" w14:textId="77777777" w:rsidR="00687440" w:rsidRPr="00CB7915" w:rsidRDefault="001669AF" w:rsidP="006C4C9B">
      <w:pPr>
        <w:jc w:val="both"/>
        <w:rPr>
          <w:rStyle w:val="Hipervnculo"/>
        </w:rPr>
      </w:pPr>
      <w:hyperlink r:id="rId11" w:history="1">
        <w:r w:rsidR="00EF599A" w:rsidRPr="00CB7915">
          <w:rPr>
            <w:rStyle w:val="Hipervnculo"/>
          </w:rPr>
          <w:t>Buenas prácticas de comunicación hipermedia en tiempos de COVID-19</w:t>
        </w:r>
      </w:hyperlink>
      <w:r w:rsidR="00687440" w:rsidRPr="00CB7915">
        <w:rPr>
          <w:lang w:val="en-US"/>
        </w:rPr>
        <w:fldChar w:fldCharType="begin"/>
      </w:r>
      <w:r w:rsidR="00687440" w:rsidRPr="00CB7915">
        <w:instrText>HYPERLINK "https://covid19cubadata.github.io/boletines.html"</w:instrText>
      </w:r>
      <w:r w:rsidR="00687440" w:rsidRPr="00CB7915">
        <w:rPr>
          <w:lang w:val="en-US"/>
        </w:rPr>
        <w:fldChar w:fldCharType="separate"/>
      </w:r>
    </w:p>
    <w:p w14:paraId="4FE95FC8" w14:textId="77777777" w:rsidR="00687440" w:rsidRPr="00CB7915" w:rsidRDefault="00687440" w:rsidP="006C4C9B">
      <w:pPr>
        <w:jc w:val="both"/>
        <w:rPr>
          <w:rStyle w:val="Hipervnculo"/>
        </w:rPr>
      </w:pPr>
      <w:r w:rsidRPr="00CB7915">
        <w:rPr>
          <w:rStyle w:val="Hipervnculo"/>
        </w:rPr>
        <w:t>Boletín Infopob - Centro de Estudios Demográficos (CEDEM)</w:t>
      </w:r>
    </w:p>
    <w:p w14:paraId="470C65C1" w14:textId="77777777" w:rsidR="00EF599A" w:rsidRPr="00CB7915" w:rsidRDefault="00687440" w:rsidP="006C4C9B">
      <w:pPr>
        <w:jc w:val="both"/>
        <w:rPr>
          <w:bCs/>
        </w:rPr>
      </w:pPr>
      <w:r w:rsidRPr="00CB7915">
        <w:fldChar w:fldCharType="end"/>
      </w:r>
      <w:hyperlink r:id="rId12" w:history="1">
        <w:r w:rsidR="00EF599A" w:rsidRPr="00CB7915">
          <w:rPr>
            <w:rStyle w:val="Hipervnculo"/>
            <w:bCs/>
          </w:rPr>
          <w:t>Cuba: los próximos desafíos comunicacionales frente a la COVID-19</w:t>
        </w:r>
      </w:hyperlink>
    </w:p>
    <w:p w14:paraId="41A87EBF" w14:textId="77777777" w:rsidR="00687440" w:rsidRPr="00CB7915" w:rsidRDefault="001669AF" w:rsidP="006C4C9B">
      <w:pPr>
        <w:jc w:val="both"/>
        <w:rPr>
          <w:bCs/>
        </w:rPr>
      </w:pPr>
      <w:hyperlink r:id="rId13" w:history="1">
        <w:r w:rsidR="00687440" w:rsidRPr="00CB7915">
          <w:rPr>
            <w:rStyle w:val="Hipervnculo"/>
            <w:bCs/>
          </w:rPr>
          <w:t>Demografía y Comunicación: alianza frente a la COVID-19</w:t>
        </w:r>
      </w:hyperlink>
    </w:p>
    <w:p w14:paraId="781332DC" w14:textId="77777777" w:rsidR="00687440" w:rsidRPr="00CB7915" w:rsidRDefault="001669AF" w:rsidP="006C4C9B">
      <w:pPr>
        <w:jc w:val="both"/>
        <w:rPr>
          <w:bCs/>
        </w:rPr>
      </w:pPr>
      <w:hyperlink r:id="rId14" w:history="1">
        <w:r w:rsidR="00687440" w:rsidRPr="00CB7915">
          <w:rPr>
            <w:rStyle w:val="Hipervnculo"/>
            <w:bCs/>
          </w:rPr>
          <w:t>Comportamiento informacional, infodemia y desinformación durante la pandemia de COVID-19</w:t>
        </w:r>
      </w:hyperlink>
    </w:p>
    <w:p w14:paraId="13931B15" w14:textId="77777777" w:rsidR="00687440" w:rsidRPr="00CB7915" w:rsidRDefault="00687440" w:rsidP="006C4C9B">
      <w:pPr>
        <w:jc w:val="both"/>
        <w:rPr>
          <w:sz w:val="24"/>
          <w:szCs w:val="24"/>
        </w:rPr>
      </w:pPr>
    </w:p>
    <w:p w14:paraId="0D82C388" w14:textId="77777777" w:rsidR="00EE517A" w:rsidRPr="00CB7915" w:rsidRDefault="00CB06F9" w:rsidP="006C4C9B">
      <w:pPr>
        <w:jc w:val="both"/>
        <w:rPr>
          <w:b/>
          <w:color w:val="000066"/>
        </w:rPr>
      </w:pPr>
      <w:r w:rsidRPr="00CB7915">
        <w:rPr>
          <w:b/>
          <w:color w:val="000066"/>
        </w:rPr>
        <w:t xml:space="preserve">Fuentes </w:t>
      </w:r>
      <w:r w:rsidR="00EE517A" w:rsidRPr="00CB7915">
        <w:rPr>
          <w:b/>
          <w:color w:val="000066"/>
        </w:rPr>
        <w:t>internacionales</w:t>
      </w:r>
    </w:p>
    <w:p w14:paraId="6C93F625" w14:textId="77777777" w:rsidR="00EE517A" w:rsidRPr="00CB7915" w:rsidRDefault="00EE517A" w:rsidP="006C4C9B">
      <w:pPr>
        <w:jc w:val="both"/>
        <w:rPr>
          <w:b/>
        </w:rPr>
      </w:pPr>
    </w:p>
    <w:p w14:paraId="0356DD0F" w14:textId="77777777" w:rsidR="00687440" w:rsidRPr="00CB7915" w:rsidRDefault="001669AF" w:rsidP="006C4C9B">
      <w:pPr>
        <w:pStyle w:val="Prrafodelista"/>
        <w:numPr>
          <w:ilvl w:val="0"/>
          <w:numId w:val="13"/>
        </w:numPr>
        <w:jc w:val="both"/>
      </w:pPr>
      <w:hyperlink r:id="rId15" w:history="1">
        <w:r w:rsidR="00687440" w:rsidRPr="00CB7915">
          <w:rPr>
            <w:rStyle w:val="Hipervnculo"/>
          </w:rPr>
          <w:t>Informe de Políticas sobre los Efectos de la COVID-19 en América Latina y el Caribe</w:t>
        </w:r>
      </w:hyperlink>
    </w:p>
    <w:p w14:paraId="366B466A" w14:textId="77777777" w:rsidR="003A15E7" w:rsidRPr="00CB7915" w:rsidRDefault="001669AF" w:rsidP="006C4C9B">
      <w:pPr>
        <w:pStyle w:val="Prrafodelista"/>
        <w:numPr>
          <w:ilvl w:val="0"/>
          <w:numId w:val="13"/>
        </w:numPr>
        <w:jc w:val="both"/>
      </w:pPr>
      <w:hyperlink r:id="rId16" w:history="1">
        <w:r w:rsidR="003A15E7" w:rsidRPr="00CB7915">
          <w:rPr>
            <w:rStyle w:val="Hipervnculo"/>
          </w:rPr>
          <w:t>COVID-19: Un Enfoque de Género</w:t>
        </w:r>
      </w:hyperlink>
    </w:p>
    <w:p w14:paraId="4C7932AA" w14:textId="77777777" w:rsidR="00687440" w:rsidRPr="00CB7915" w:rsidRDefault="001669AF" w:rsidP="006C4C9B">
      <w:pPr>
        <w:pStyle w:val="Prrafodelista"/>
        <w:numPr>
          <w:ilvl w:val="0"/>
          <w:numId w:val="13"/>
        </w:numPr>
        <w:jc w:val="both"/>
      </w:pPr>
      <w:hyperlink r:id="rId17" w:history="1">
        <w:r w:rsidR="00687440" w:rsidRPr="00CB7915">
          <w:rPr>
            <w:rStyle w:val="Hipervnculo"/>
          </w:rPr>
          <w:t>Atención en Salud Sexual y Reproductiva y Planificación Familiar durante la emergencia sanitaria por la COVID-19 en América Latina y el Caribe</w:t>
        </w:r>
      </w:hyperlink>
    </w:p>
    <w:p w14:paraId="60997BA6" w14:textId="77777777" w:rsidR="00687440" w:rsidRPr="00CB7915" w:rsidRDefault="001669AF" w:rsidP="006C4C9B">
      <w:pPr>
        <w:pStyle w:val="Prrafodelista"/>
        <w:numPr>
          <w:ilvl w:val="0"/>
          <w:numId w:val="13"/>
        </w:numPr>
        <w:jc w:val="both"/>
      </w:pPr>
      <w:hyperlink r:id="rId18" w:history="1">
        <w:r w:rsidR="00687440" w:rsidRPr="00CB7915">
          <w:rPr>
            <w:rStyle w:val="Hipervnculo"/>
          </w:rPr>
          <w:t>Implicaciones del COVID-19 en la población afrodescendiente de América Latina y el Caribe</w:t>
        </w:r>
      </w:hyperlink>
    </w:p>
    <w:p w14:paraId="7B296B9D" w14:textId="77777777" w:rsidR="00687440" w:rsidRPr="00CB7915" w:rsidRDefault="001669AF" w:rsidP="006C4C9B">
      <w:pPr>
        <w:pStyle w:val="Prrafodelista"/>
        <w:numPr>
          <w:ilvl w:val="0"/>
          <w:numId w:val="13"/>
        </w:numPr>
        <w:jc w:val="both"/>
      </w:pPr>
      <w:hyperlink r:id="rId19" w:history="1">
        <w:r w:rsidR="00687440" w:rsidRPr="00CB7915">
          <w:rPr>
            <w:rStyle w:val="Hipervnculo"/>
          </w:rPr>
          <w:t>Repercusión de la pandemia de COVID-19 en la planificación familiar y la eliminación de la violencia de género, la mutilación genital femenina y el matrimonio infantil</w:t>
        </w:r>
      </w:hyperlink>
    </w:p>
    <w:p w14:paraId="7F125DD8" w14:textId="77777777" w:rsidR="00687440" w:rsidRPr="00CB7915" w:rsidRDefault="001669AF" w:rsidP="006C4C9B">
      <w:pPr>
        <w:pStyle w:val="Prrafodelista"/>
        <w:numPr>
          <w:ilvl w:val="0"/>
          <w:numId w:val="13"/>
        </w:numPr>
        <w:jc w:val="both"/>
      </w:pPr>
      <w:hyperlink r:id="rId20" w:history="1">
        <w:r w:rsidR="00687440" w:rsidRPr="00CB7915">
          <w:rPr>
            <w:rStyle w:val="Hipervnculo"/>
          </w:rPr>
          <w:t>Masculinidades, igualdad de género y COVID-19</w:t>
        </w:r>
      </w:hyperlink>
    </w:p>
    <w:p w14:paraId="7EA71263" w14:textId="77777777" w:rsidR="00687440" w:rsidRPr="00CB7915" w:rsidRDefault="001669AF" w:rsidP="006C4C9B">
      <w:pPr>
        <w:pStyle w:val="Prrafodelista"/>
        <w:numPr>
          <w:ilvl w:val="0"/>
          <w:numId w:val="13"/>
        </w:numPr>
        <w:jc w:val="both"/>
      </w:pPr>
      <w:hyperlink r:id="rId21" w:history="1">
        <w:r w:rsidR="00687440" w:rsidRPr="00CB7915">
          <w:rPr>
            <w:rStyle w:val="Hipervnculo"/>
          </w:rPr>
          <w:t>Matrimonio infantil y uniones tempranas en América Latina y el Caribe en contextos humanitarios y de crisis 2020</w:t>
        </w:r>
      </w:hyperlink>
    </w:p>
    <w:p w14:paraId="6A7967F5" w14:textId="77777777" w:rsidR="00687440" w:rsidRPr="00CB7915" w:rsidRDefault="001669AF" w:rsidP="006C4C9B">
      <w:pPr>
        <w:pStyle w:val="Prrafodelista"/>
        <w:numPr>
          <w:ilvl w:val="0"/>
          <w:numId w:val="13"/>
        </w:numPr>
        <w:jc w:val="both"/>
      </w:pPr>
      <w:hyperlink r:id="rId22" w:history="1">
        <w:r w:rsidR="00687440" w:rsidRPr="00CB7915">
          <w:rPr>
            <w:rStyle w:val="Hipervnculo"/>
          </w:rPr>
          <w:t>Los riesgos de la pandemia de COVID-19 para el ejercicio de los derechos sexuales y reproductivos de las mujeres</w:t>
        </w:r>
      </w:hyperlink>
    </w:p>
    <w:p w14:paraId="4E9615EB" w14:textId="77777777" w:rsidR="00687440" w:rsidRPr="00CB7915" w:rsidRDefault="001669AF" w:rsidP="006C4C9B">
      <w:pPr>
        <w:pStyle w:val="Prrafodelista"/>
        <w:numPr>
          <w:ilvl w:val="0"/>
          <w:numId w:val="13"/>
        </w:numPr>
        <w:jc w:val="both"/>
      </w:pPr>
      <w:hyperlink r:id="rId23" w:history="1">
        <w:r w:rsidR="00687440" w:rsidRPr="00CB7915">
          <w:rPr>
            <w:rStyle w:val="Hipervnculo"/>
          </w:rPr>
          <w:t>El Impacto de COVID-19 en el acceso a los anticonceptivos en América Latina y el Caribe</w:t>
        </w:r>
      </w:hyperlink>
    </w:p>
    <w:p w14:paraId="6ED3B222" w14:textId="77777777" w:rsidR="00687440" w:rsidRPr="00CB7915" w:rsidRDefault="001669AF" w:rsidP="006C4C9B">
      <w:pPr>
        <w:pStyle w:val="Prrafodelista"/>
        <w:numPr>
          <w:ilvl w:val="0"/>
          <w:numId w:val="13"/>
        </w:numPr>
        <w:jc w:val="both"/>
      </w:pPr>
      <w:hyperlink r:id="rId24" w:history="1">
        <w:r w:rsidR="00687440" w:rsidRPr="00CB7915">
          <w:rPr>
            <w:rStyle w:val="Hipervnculo"/>
          </w:rPr>
          <w:t>Declaración entre organismos sobre la violencia contra las mujeres y las niñas en el contexto de la COVID-19</w:t>
        </w:r>
      </w:hyperlink>
    </w:p>
    <w:p w14:paraId="4A65B36B" w14:textId="77777777" w:rsidR="00687440" w:rsidRPr="00CB7915" w:rsidRDefault="00687440" w:rsidP="006C4C9B">
      <w:pPr>
        <w:jc w:val="both"/>
      </w:pPr>
    </w:p>
    <w:p w14:paraId="3AA0ED75" w14:textId="77777777" w:rsidR="00B8437C" w:rsidRPr="00CB7915" w:rsidRDefault="00B8437C" w:rsidP="006C4C9B">
      <w:pPr>
        <w:jc w:val="both"/>
        <w:rPr>
          <w:bCs/>
          <w:color w:val="000066"/>
        </w:rPr>
      </w:pPr>
    </w:p>
    <w:p w14:paraId="48B61180" w14:textId="77777777" w:rsidR="00A96710" w:rsidRPr="00CB7915" w:rsidRDefault="00A96710" w:rsidP="006C4C9B">
      <w:pPr>
        <w:jc w:val="both"/>
        <w:rPr>
          <w:b/>
          <w:bCs/>
          <w:color w:val="000066"/>
        </w:rPr>
      </w:pPr>
    </w:p>
    <w:p w14:paraId="0BCA453A" w14:textId="77777777" w:rsidR="00A96710" w:rsidRPr="00CB7915" w:rsidRDefault="00A96710" w:rsidP="006C4C9B">
      <w:pPr>
        <w:jc w:val="both"/>
        <w:rPr>
          <w:b/>
          <w:bCs/>
          <w:color w:val="000066"/>
        </w:rPr>
      </w:pPr>
    </w:p>
    <w:p w14:paraId="4AC27653" w14:textId="77777777" w:rsidR="00EC6D54" w:rsidRPr="00CB7915" w:rsidRDefault="00421D9E" w:rsidP="006C4C9B">
      <w:pPr>
        <w:jc w:val="both"/>
        <w:rPr>
          <w:b/>
          <w:bCs/>
          <w:color w:val="000066"/>
        </w:rPr>
      </w:pPr>
      <w:r w:rsidRPr="00CB7915">
        <w:rPr>
          <w:b/>
          <w:bCs/>
          <w:color w:val="000066"/>
        </w:rPr>
        <w:t>Manuales, guías y g</w:t>
      </w:r>
      <w:r w:rsidR="00EC6D54" w:rsidRPr="00CB7915">
        <w:rPr>
          <w:b/>
          <w:bCs/>
          <w:color w:val="000066"/>
        </w:rPr>
        <w:t>losarios</w:t>
      </w:r>
    </w:p>
    <w:p w14:paraId="2142194F" w14:textId="77777777" w:rsidR="00EF599A" w:rsidRPr="00CB7915" w:rsidRDefault="00EF599A" w:rsidP="006C4C9B">
      <w:pPr>
        <w:jc w:val="both"/>
        <w:rPr>
          <w:b/>
          <w:bCs/>
          <w:color w:val="000066"/>
        </w:rPr>
      </w:pPr>
    </w:p>
    <w:p w14:paraId="7FD1A64A" w14:textId="77777777" w:rsidR="00EF599A" w:rsidRPr="00CB7915" w:rsidRDefault="001669AF" w:rsidP="006C4C9B">
      <w:pPr>
        <w:jc w:val="both"/>
        <w:rPr>
          <w:bCs/>
          <w:color w:val="000066"/>
        </w:rPr>
      </w:pPr>
      <w:hyperlink r:id="rId25" w:history="1">
        <w:r w:rsidR="00EF599A" w:rsidRPr="00CB7915">
          <w:rPr>
            <w:rStyle w:val="Hipervnculo"/>
            <w:bCs/>
            <w:lang w:val="es-ES_tradnl"/>
          </w:rPr>
          <w:t>COVID-19. Consejos para informar. Guía para Periodistas</w:t>
        </w:r>
      </w:hyperlink>
    </w:p>
    <w:p w14:paraId="28E566BC" w14:textId="77777777" w:rsidR="00EF599A" w:rsidRPr="00CB7915" w:rsidRDefault="001669AF" w:rsidP="006C4C9B">
      <w:pPr>
        <w:jc w:val="both"/>
        <w:rPr>
          <w:bCs/>
          <w:color w:val="000066"/>
          <w:lang w:val="es-ES_tradnl"/>
        </w:rPr>
      </w:pPr>
      <w:hyperlink r:id="rId26" w:history="1">
        <w:r w:rsidR="00EF599A" w:rsidRPr="00CB7915">
          <w:rPr>
            <w:rStyle w:val="Hipervnculo"/>
            <w:bCs/>
            <w:lang w:val="es-ES_tradnl"/>
          </w:rPr>
          <w:t>Glosario sobre brotes y epidemias. Un recurso para periodistas y comunicadores</w:t>
        </w:r>
      </w:hyperlink>
      <w:r w:rsidR="00EF599A" w:rsidRPr="00CB7915">
        <w:rPr>
          <w:bCs/>
          <w:color w:val="000066"/>
          <w:lang w:val="es-ES_tradnl"/>
        </w:rPr>
        <w:t>.</w:t>
      </w:r>
    </w:p>
    <w:p w14:paraId="03A30BE6" w14:textId="77777777" w:rsidR="00EF599A" w:rsidRPr="00CB7915" w:rsidRDefault="00EF599A" w:rsidP="006C4C9B">
      <w:pPr>
        <w:jc w:val="both"/>
        <w:rPr>
          <w:b/>
          <w:bCs/>
          <w:color w:val="000066"/>
        </w:rPr>
      </w:pPr>
    </w:p>
    <w:p w14:paraId="210C229D" w14:textId="77777777" w:rsidR="00EF599A" w:rsidRPr="00CB7915" w:rsidRDefault="00EF599A" w:rsidP="006C4C9B">
      <w:pPr>
        <w:jc w:val="both"/>
        <w:rPr>
          <w:b/>
          <w:bCs/>
          <w:color w:val="000066"/>
        </w:rPr>
      </w:pPr>
    </w:p>
    <w:p w14:paraId="6998B361" w14:textId="7FD855A0" w:rsidR="00EC6D54" w:rsidRPr="00CB7915" w:rsidRDefault="00746D6B" w:rsidP="006C4C9B">
      <w:pPr>
        <w:jc w:val="both"/>
        <w:rPr>
          <w:b/>
          <w:bCs/>
          <w:color w:val="000066"/>
        </w:rPr>
      </w:pPr>
      <w:r>
        <w:rPr>
          <w:b/>
          <w:bCs/>
          <w:color w:val="000066"/>
        </w:rPr>
        <w:t>R</w:t>
      </w:r>
      <w:r w:rsidR="004D67C8" w:rsidRPr="00CB7915">
        <w:rPr>
          <w:b/>
          <w:bCs/>
          <w:color w:val="000066"/>
        </w:rPr>
        <w:t>edes sociales</w:t>
      </w:r>
    </w:p>
    <w:p w14:paraId="168E28FD" w14:textId="77777777" w:rsidR="004D67C8" w:rsidRPr="00CB7915" w:rsidRDefault="004D67C8" w:rsidP="006C4C9B">
      <w:pPr>
        <w:jc w:val="both"/>
        <w:rPr>
          <w:b/>
          <w:bCs/>
          <w:color w:val="000066"/>
        </w:rPr>
      </w:pPr>
    </w:p>
    <w:p w14:paraId="6B657883" w14:textId="071D8DC9" w:rsidR="00746D6B" w:rsidRPr="00746D6B" w:rsidRDefault="00746D6B" w:rsidP="00746D6B">
      <w:pPr>
        <w:jc w:val="both"/>
        <w:rPr>
          <w:bCs/>
          <w:color w:val="000066"/>
          <w:lang w:val="en-US"/>
        </w:rPr>
      </w:pPr>
      <w:r w:rsidRPr="00746D6B">
        <w:rPr>
          <w:bCs/>
          <w:color w:val="000066"/>
          <w:lang w:val="en-US"/>
        </w:rPr>
        <w:t xml:space="preserve">Facebook </w:t>
      </w:r>
      <w:r w:rsidR="004D67C8" w:rsidRPr="00746D6B">
        <w:rPr>
          <w:bCs/>
          <w:color w:val="000066"/>
          <w:lang w:val="en-US"/>
        </w:rPr>
        <w:t>C</w:t>
      </w:r>
      <w:r w:rsidRPr="00746D6B">
        <w:rPr>
          <w:bCs/>
          <w:color w:val="000066"/>
          <w:lang w:val="en-US"/>
        </w:rPr>
        <w:t>EDEM               @cedemuh</w:t>
      </w:r>
    </w:p>
    <w:p w14:paraId="0114A297" w14:textId="7B9E9B98" w:rsidR="004D67C8" w:rsidRPr="00746D6B" w:rsidRDefault="00746D6B" w:rsidP="00746D6B">
      <w:pPr>
        <w:jc w:val="both"/>
        <w:rPr>
          <w:bCs/>
          <w:color w:val="000066"/>
          <w:lang w:val="en-US"/>
        </w:rPr>
      </w:pPr>
      <w:r w:rsidRPr="00746D6B">
        <w:rPr>
          <w:bCs/>
          <w:color w:val="000066"/>
          <w:lang w:val="en-US"/>
        </w:rPr>
        <w:t>Twitter CEDEM                   @cedem_uh</w:t>
      </w:r>
    </w:p>
    <w:p w14:paraId="0FAE3168" w14:textId="0A5A46B8" w:rsidR="004D67C8" w:rsidRPr="00746D6B" w:rsidRDefault="00746D6B" w:rsidP="006C4C9B">
      <w:pPr>
        <w:jc w:val="both"/>
        <w:rPr>
          <w:bCs/>
          <w:color w:val="000066"/>
          <w:lang w:val="en-US"/>
        </w:rPr>
      </w:pPr>
      <w:r w:rsidRPr="00746D6B">
        <w:rPr>
          <w:bCs/>
          <w:color w:val="000066"/>
          <w:lang w:val="en-US"/>
        </w:rPr>
        <w:t>Facebook</w:t>
      </w:r>
      <w:r w:rsidRPr="00746D6B">
        <w:rPr>
          <w:bCs/>
          <w:color w:val="000066"/>
          <w:lang w:val="en-US"/>
        </w:rPr>
        <w:t xml:space="preserve"> </w:t>
      </w:r>
      <w:r w:rsidR="004D67C8" w:rsidRPr="00746D6B">
        <w:rPr>
          <w:bCs/>
          <w:color w:val="000066"/>
          <w:lang w:val="en-US"/>
        </w:rPr>
        <w:t>UNFPA Cuba</w:t>
      </w:r>
      <w:r w:rsidRPr="00746D6B">
        <w:rPr>
          <w:bCs/>
          <w:color w:val="000066"/>
          <w:lang w:val="en-US"/>
        </w:rPr>
        <w:t xml:space="preserve">     @unfpacuba</w:t>
      </w:r>
    </w:p>
    <w:p w14:paraId="31E5D861" w14:textId="1F4BE9AA" w:rsidR="00746D6B" w:rsidRPr="00746D6B" w:rsidRDefault="00746D6B" w:rsidP="006C4C9B">
      <w:pPr>
        <w:jc w:val="both"/>
        <w:rPr>
          <w:bCs/>
          <w:color w:val="000066"/>
          <w:lang w:val="en-US"/>
        </w:rPr>
      </w:pPr>
      <w:r w:rsidRPr="00746D6B">
        <w:rPr>
          <w:bCs/>
          <w:color w:val="000066"/>
          <w:lang w:val="en-US"/>
        </w:rPr>
        <w:t>Twitter UNFPA Cuba         @UNFPACuba</w:t>
      </w:r>
    </w:p>
    <w:p w14:paraId="222681FB" w14:textId="77777777" w:rsidR="00E4549B" w:rsidRPr="00CB7915" w:rsidRDefault="00E4549B" w:rsidP="006C4C9B">
      <w:pPr>
        <w:jc w:val="both"/>
        <w:rPr>
          <w:bCs/>
          <w:sz w:val="24"/>
          <w:szCs w:val="24"/>
        </w:rPr>
      </w:pPr>
    </w:p>
    <w:p w14:paraId="3A5549AF" w14:textId="77777777" w:rsidR="00E4549B" w:rsidRPr="00CB7915" w:rsidRDefault="00E4549B" w:rsidP="006C4C9B">
      <w:pPr>
        <w:jc w:val="both"/>
        <w:rPr>
          <w:bCs/>
          <w:sz w:val="24"/>
          <w:szCs w:val="24"/>
        </w:rPr>
      </w:pPr>
    </w:p>
    <w:p w14:paraId="74F88DB2" w14:textId="77777777" w:rsidR="001B5A2C" w:rsidRPr="00CB7915" w:rsidRDefault="001B5A2C" w:rsidP="006C4C9B">
      <w:pPr>
        <w:jc w:val="both"/>
        <w:rPr>
          <w:bCs/>
          <w:sz w:val="24"/>
          <w:szCs w:val="24"/>
        </w:rPr>
      </w:pPr>
    </w:p>
    <w:p w14:paraId="7E60DEAB" w14:textId="77777777" w:rsidR="001B5A2C" w:rsidRPr="00CB7915" w:rsidRDefault="001B5A2C" w:rsidP="006C4C9B">
      <w:pPr>
        <w:jc w:val="both"/>
        <w:rPr>
          <w:bCs/>
          <w:sz w:val="24"/>
          <w:szCs w:val="24"/>
        </w:rPr>
      </w:pPr>
    </w:p>
    <w:p w14:paraId="13A7DF98" w14:textId="77777777" w:rsidR="004D67C8" w:rsidRPr="00CB7915" w:rsidRDefault="004D67C8" w:rsidP="006C4C9B">
      <w:pPr>
        <w:jc w:val="both"/>
        <w:rPr>
          <w:bCs/>
          <w:sz w:val="24"/>
          <w:szCs w:val="24"/>
        </w:rPr>
      </w:pPr>
    </w:p>
    <w:p w14:paraId="2A39912D" w14:textId="77777777" w:rsidR="004D67C8" w:rsidRPr="00CB7915" w:rsidRDefault="004D67C8" w:rsidP="006C4C9B">
      <w:pPr>
        <w:jc w:val="both"/>
        <w:rPr>
          <w:bCs/>
          <w:sz w:val="24"/>
          <w:szCs w:val="24"/>
        </w:rPr>
      </w:pPr>
    </w:p>
    <w:p w14:paraId="2BFDE263" w14:textId="77777777" w:rsidR="004D67C8" w:rsidRPr="00CB7915" w:rsidRDefault="004D67C8" w:rsidP="006C4C9B">
      <w:pPr>
        <w:jc w:val="both"/>
        <w:rPr>
          <w:bCs/>
          <w:sz w:val="24"/>
          <w:szCs w:val="24"/>
        </w:rPr>
      </w:pPr>
    </w:p>
    <w:p w14:paraId="654B53CF" w14:textId="77777777" w:rsidR="001B5A2C" w:rsidRPr="00CB7915" w:rsidRDefault="001B5A2C" w:rsidP="006C4C9B">
      <w:pPr>
        <w:jc w:val="both"/>
        <w:rPr>
          <w:bCs/>
          <w:sz w:val="24"/>
          <w:szCs w:val="24"/>
        </w:rPr>
      </w:pPr>
    </w:p>
    <w:p w14:paraId="15DB18A0" w14:textId="77777777" w:rsidR="001B5A2C" w:rsidRPr="00CB7915" w:rsidRDefault="001B5A2C" w:rsidP="006C4C9B">
      <w:pPr>
        <w:jc w:val="both"/>
        <w:rPr>
          <w:bCs/>
          <w:sz w:val="24"/>
          <w:szCs w:val="24"/>
        </w:rPr>
      </w:pPr>
    </w:p>
    <w:p w14:paraId="114C5F3C" w14:textId="77777777" w:rsidR="001B5A2C" w:rsidRPr="00CB7915" w:rsidRDefault="001B5A2C" w:rsidP="006C4C9B">
      <w:pPr>
        <w:jc w:val="both"/>
        <w:rPr>
          <w:bCs/>
          <w:sz w:val="24"/>
          <w:szCs w:val="24"/>
        </w:rPr>
      </w:pPr>
    </w:p>
    <w:p w14:paraId="39EE419C" w14:textId="77777777" w:rsidR="001B5A2C" w:rsidRPr="00CB7915" w:rsidRDefault="001B5A2C" w:rsidP="006C4C9B">
      <w:pPr>
        <w:jc w:val="both"/>
        <w:rPr>
          <w:bCs/>
          <w:sz w:val="24"/>
          <w:szCs w:val="24"/>
        </w:rPr>
      </w:pPr>
    </w:p>
    <w:p w14:paraId="0457DC16" w14:textId="77777777" w:rsidR="00E4549B" w:rsidRDefault="00E4549B" w:rsidP="006C4C9B">
      <w:pPr>
        <w:jc w:val="both"/>
        <w:rPr>
          <w:bCs/>
          <w:sz w:val="24"/>
          <w:szCs w:val="24"/>
        </w:rPr>
      </w:pPr>
      <w:r w:rsidRPr="00CB7915">
        <w:rPr>
          <w:bCs/>
          <w:noProof/>
          <w:sz w:val="24"/>
          <w:szCs w:val="24"/>
          <w:lang w:val="en-US"/>
        </w:rPr>
        <mc:AlternateContent>
          <mc:Choice Requires="wps">
            <w:drawing>
              <wp:anchor distT="45720" distB="45720" distL="114300" distR="114300" simplePos="0" relativeHeight="251661312" behindDoc="0" locked="0" layoutInCell="1" allowOverlap="1" wp14:anchorId="6FE27C75" wp14:editId="5ECD977A">
                <wp:simplePos x="0" y="0"/>
                <wp:positionH relativeFrom="margin">
                  <wp:posOffset>-302895</wp:posOffset>
                </wp:positionH>
                <wp:positionV relativeFrom="paragraph">
                  <wp:posOffset>266065</wp:posOffset>
                </wp:positionV>
                <wp:extent cx="5903595" cy="782320"/>
                <wp:effectExtent l="19050" t="19050" r="20955"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782320"/>
                        </a:xfrm>
                        <a:prstGeom prst="rect">
                          <a:avLst/>
                        </a:prstGeom>
                        <a:solidFill>
                          <a:srgbClr val="FFFFFF"/>
                        </a:solidFill>
                        <a:ln w="28575">
                          <a:solidFill>
                            <a:srgbClr val="000066"/>
                          </a:solidFill>
                          <a:miter lim="800000"/>
                          <a:headEnd/>
                          <a:tailEnd/>
                        </a:ln>
                      </wps:spPr>
                      <wps:txbx>
                        <w:txbxContent>
                          <w:p w14:paraId="2EF6F07D" w14:textId="0E6346F5" w:rsidR="00052E5D" w:rsidRPr="001F7A97" w:rsidRDefault="00E4549B" w:rsidP="001F7A97">
                            <w:pPr>
                              <w:jc w:val="center"/>
                              <w:rPr>
                                <w:bCs/>
                                <w:iCs/>
                                <w:color w:val="000066"/>
                              </w:rPr>
                            </w:pPr>
                            <w:r w:rsidRPr="006C4C9B">
                              <w:rPr>
                                <w:color w:val="000066"/>
                              </w:rPr>
                              <w:t xml:space="preserve">Esta herramienta ha sido elaborada </w:t>
                            </w:r>
                            <w:r w:rsidR="00EF7DD6" w:rsidRPr="006C4C9B">
                              <w:rPr>
                                <w:color w:val="000066"/>
                              </w:rPr>
                              <w:t>por el Equipo de Comunicación y Proyectos del Instituto Internacional de Periodismo José Martí</w:t>
                            </w:r>
                            <w:r w:rsidR="00100204" w:rsidRPr="006C4C9B">
                              <w:rPr>
                                <w:color w:val="000066"/>
                              </w:rPr>
                              <w:t xml:space="preserve">, en alianza con el Centro de Estudios Demográficos (CEDEM), de la Universidad de La Habana y el UNFPA, Fondo de Población de las Naciones </w:t>
                            </w:r>
                            <w:r w:rsidR="004D67C8">
                              <w:rPr>
                                <w:bCs/>
                                <w:iCs/>
                                <w:color w:val="000066"/>
                              </w:rPr>
                              <w:t xml:space="preserve">Unidas en Cuba. </w:t>
                            </w:r>
                          </w:p>
                          <w:p w14:paraId="5274B630" w14:textId="77777777" w:rsidR="00052E5D" w:rsidRPr="001F7A97" w:rsidRDefault="00052E5D" w:rsidP="001F7A97">
                            <w:pPr>
                              <w:jc w:val="center"/>
                              <w:rPr>
                                <w:bCs/>
                                <w:iCs/>
                                <w:color w:val="000066"/>
                              </w:rPr>
                            </w:pPr>
                          </w:p>
                          <w:p w14:paraId="627E33EA" w14:textId="77777777" w:rsidR="00052E5D" w:rsidRPr="00687C15" w:rsidRDefault="00052E5D" w:rsidP="001F7A97">
                            <w:pPr>
                              <w:jc w:val="center"/>
                              <w:rPr>
                                <w:b/>
                                <w:bCs/>
                                <w:iCs/>
                                <w:color w:val="000066"/>
                              </w:rPr>
                            </w:pPr>
                            <w:r w:rsidRPr="00687C15">
                              <w:rPr>
                                <w:rFonts w:cstheme="minorHAnsi"/>
                                <w:b/>
                                <w:bCs/>
                                <w:iCs/>
                                <w:color w:val="000066"/>
                              </w:rPr>
                              <w:t>#</w:t>
                            </w:r>
                            <w:r w:rsidRPr="00687C15">
                              <w:rPr>
                                <w:b/>
                                <w:bCs/>
                                <w:iCs/>
                                <w:color w:val="000066"/>
                              </w:rPr>
                              <w:t>PeriodismoResponsable</w:t>
                            </w:r>
                          </w:p>
                          <w:p w14:paraId="1E9A881A" w14:textId="77777777" w:rsidR="00052E5D" w:rsidRPr="001F7A97" w:rsidRDefault="00052E5D" w:rsidP="001F7A97">
                            <w:pPr>
                              <w:jc w:val="center"/>
                              <w:rPr>
                                <w:bCs/>
                                <w:iCs/>
                                <w:color w:val="000066"/>
                              </w:rPr>
                            </w:pPr>
                            <w:r w:rsidRPr="001F7A97">
                              <w:rPr>
                                <w:bCs/>
                                <w:iCs/>
                                <w:color w:val="000066"/>
                              </w:rPr>
                              <w:t>Instituto Internacional de Periodismo José Martí</w:t>
                            </w:r>
                          </w:p>
                          <w:p w14:paraId="29641D19" w14:textId="77777777" w:rsidR="00052E5D" w:rsidRPr="001F7A97" w:rsidRDefault="00052E5D" w:rsidP="001F7A97">
                            <w:pPr>
                              <w:jc w:val="center"/>
                              <w:rPr>
                                <w:bCs/>
                                <w:iCs/>
                                <w:color w:val="000066"/>
                              </w:rPr>
                            </w:pPr>
                            <w:r w:rsidRPr="001F7A97">
                              <w:rPr>
                                <w:rFonts w:cstheme="minorHAnsi"/>
                                <w:bCs/>
                                <w:iCs/>
                                <w:color w:val="000066"/>
                              </w:rPr>
                              <w:t>@</w:t>
                            </w:r>
                            <w:r w:rsidRPr="001F7A97">
                              <w:rPr>
                                <w:bCs/>
                                <w:iCs/>
                                <w:color w:val="000066"/>
                              </w:rPr>
                              <w:t>InstitutoDePeriodismoJoséMartí</w:t>
                            </w:r>
                          </w:p>
                          <w:p w14:paraId="00BCFEC9" w14:textId="07098393" w:rsidR="00E4549B" w:rsidRPr="001F7A97" w:rsidRDefault="00052E5D" w:rsidP="001F7A97">
                            <w:pPr>
                              <w:jc w:val="center"/>
                              <w:rPr>
                                <w:bCs/>
                                <w:iCs/>
                                <w:color w:val="000066"/>
                              </w:rPr>
                            </w:pPr>
                            <w:r w:rsidRPr="001F7A97">
                              <w:rPr>
                                <w:bCs/>
                                <w:iCs/>
                                <w:color w:val="000066"/>
                              </w:rPr>
                              <w:t xml:space="preserve">La Habana, </w:t>
                            </w:r>
                            <w:r w:rsidR="00FC7EB6">
                              <w:rPr>
                                <w:bCs/>
                                <w:iCs/>
                                <w:color w:val="000066"/>
                              </w:rPr>
                              <w:t>julio</w:t>
                            </w:r>
                            <w:r w:rsidR="001F7A97">
                              <w:rPr>
                                <w:bCs/>
                                <w:iCs/>
                                <w:color w:val="000066"/>
                              </w:rPr>
                              <w:t xml:space="preserve"> de </w:t>
                            </w:r>
                            <w:r w:rsidRPr="001F7A97">
                              <w:rPr>
                                <w:bCs/>
                                <w:iCs/>
                                <w:color w:val="000066"/>
                              </w:rPr>
                              <w:t>2021</w:t>
                            </w:r>
                          </w:p>
                          <w:p w14:paraId="6D87090F" w14:textId="77777777" w:rsidR="00052E5D" w:rsidRPr="00EF7DD6" w:rsidRDefault="00052E5D" w:rsidP="00052E5D">
                            <w:pPr>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27C75" id="_x0000_t202" coordsize="21600,21600" o:spt="202" path="m,l,21600r21600,l21600,xe">
                <v:stroke joinstyle="miter"/>
                <v:path gradientshapeok="t" o:connecttype="rect"/>
              </v:shapetype>
              <v:shape id="Cuadro de texto 2" o:spid="_x0000_s1026" type="#_x0000_t202" style="position:absolute;left:0;text-align:left;margin-left:-23.85pt;margin-top:20.95pt;width:464.85pt;height:61.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" strokecolor="#006" strokeweight="2.25pt">
                <v:textbox style="mso-fit-shape-to-text:t">
                  <w:txbxContent>
                    <w:p w14:paraId="2EF6F07D" w14:textId="0E6346F5" w:rsidR="00052E5D" w:rsidRPr="001F7A97" w:rsidRDefault="00E4549B" w:rsidP="001F7A97">
                      <w:pPr>
                        <w:jc w:val="center"/>
                        <w:rPr>
                          <w:bCs/>
                          <w:iCs/>
                          <w:color w:val="000066"/>
                        </w:rPr>
                      </w:pPr>
                      <w:r w:rsidRPr="006C4C9B">
                        <w:rPr>
                          <w:color w:val="000066"/>
                        </w:rPr>
                        <w:t xml:space="preserve">Esta herramienta ha sido elaborada </w:t>
                      </w:r>
                      <w:r w:rsidR="00EF7DD6" w:rsidRPr="006C4C9B">
                        <w:rPr>
                          <w:color w:val="000066"/>
                        </w:rPr>
                        <w:t>por el Equipo de Comunicación y Proyectos del Instituto Internacional de Periodismo José Martí</w:t>
                      </w:r>
                      <w:r w:rsidR="00100204" w:rsidRPr="006C4C9B">
                        <w:rPr>
                          <w:color w:val="000066"/>
                        </w:rPr>
                        <w:t xml:space="preserve">, en alianza con el Centro de Estudios Demográficos (CEDEM), de la Universidad de La Habana y el UNFPA, Fondo de Población de las Naciones </w:t>
                      </w:r>
                      <w:r w:rsidR="004D67C8">
                        <w:rPr>
                          <w:bCs/>
                          <w:iCs/>
                          <w:color w:val="000066"/>
                        </w:rPr>
                        <w:t xml:space="preserve">Unidas en Cuba. </w:t>
                      </w:r>
                    </w:p>
                    <w:p w14:paraId="5274B630" w14:textId="77777777" w:rsidR="00052E5D" w:rsidRPr="001F7A97" w:rsidRDefault="00052E5D" w:rsidP="001F7A97">
                      <w:pPr>
                        <w:jc w:val="center"/>
                        <w:rPr>
                          <w:bCs/>
                          <w:iCs/>
                          <w:color w:val="000066"/>
                        </w:rPr>
                      </w:pPr>
                    </w:p>
                    <w:p w14:paraId="627E33EA" w14:textId="77777777" w:rsidR="00052E5D" w:rsidRPr="00687C15" w:rsidRDefault="00052E5D" w:rsidP="001F7A97">
                      <w:pPr>
                        <w:jc w:val="center"/>
                        <w:rPr>
                          <w:b/>
                          <w:bCs/>
                          <w:iCs/>
                          <w:color w:val="000066"/>
                        </w:rPr>
                      </w:pPr>
                      <w:r w:rsidRPr="00687C15">
                        <w:rPr>
                          <w:rFonts w:cstheme="minorHAnsi"/>
                          <w:b/>
                          <w:bCs/>
                          <w:iCs/>
                          <w:color w:val="000066"/>
                        </w:rPr>
                        <w:t>#</w:t>
                      </w:r>
                      <w:r w:rsidRPr="00687C15">
                        <w:rPr>
                          <w:b/>
                          <w:bCs/>
                          <w:iCs/>
                          <w:color w:val="000066"/>
                        </w:rPr>
                        <w:t>PeriodismoResponsable</w:t>
                      </w:r>
                    </w:p>
                    <w:p w14:paraId="1E9A881A" w14:textId="77777777" w:rsidR="00052E5D" w:rsidRPr="001F7A97" w:rsidRDefault="00052E5D" w:rsidP="001F7A97">
                      <w:pPr>
                        <w:jc w:val="center"/>
                        <w:rPr>
                          <w:bCs/>
                          <w:iCs/>
                          <w:color w:val="000066"/>
                        </w:rPr>
                      </w:pPr>
                      <w:r w:rsidRPr="001F7A97">
                        <w:rPr>
                          <w:bCs/>
                          <w:iCs/>
                          <w:color w:val="000066"/>
                        </w:rPr>
                        <w:t>Instituto Internacional de Periodismo José Martí</w:t>
                      </w:r>
                    </w:p>
                    <w:p w14:paraId="29641D19" w14:textId="77777777" w:rsidR="00052E5D" w:rsidRPr="001F7A97" w:rsidRDefault="00052E5D" w:rsidP="001F7A97">
                      <w:pPr>
                        <w:jc w:val="center"/>
                        <w:rPr>
                          <w:bCs/>
                          <w:iCs/>
                          <w:color w:val="000066"/>
                        </w:rPr>
                      </w:pPr>
                      <w:r w:rsidRPr="001F7A97">
                        <w:rPr>
                          <w:rFonts w:cstheme="minorHAnsi"/>
                          <w:bCs/>
                          <w:iCs/>
                          <w:color w:val="000066"/>
                        </w:rPr>
                        <w:t>@</w:t>
                      </w:r>
                      <w:r w:rsidRPr="001F7A97">
                        <w:rPr>
                          <w:bCs/>
                          <w:iCs/>
                          <w:color w:val="000066"/>
                        </w:rPr>
                        <w:t>InstitutoDePeriodismoJoséMartí</w:t>
                      </w:r>
                    </w:p>
                    <w:p w14:paraId="00BCFEC9" w14:textId="07098393" w:rsidR="00E4549B" w:rsidRPr="001F7A97" w:rsidRDefault="00052E5D" w:rsidP="001F7A97">
                      <w:pPr>
                        <w:jc w:val="center"/>
                        <w:rPr>
                          <w:bCs/>
                          <w:iCs/>
                          <w:color w:val="000066"/>
                        </w:rPr>
                      </w:pPr>
                      <w:r w:rsidRPr="001F7A97">
                        <w:rPr>
                          <w:bCs/>
                          <w:iCs/>
                          <w:color w:val="000066"/>
                        </w:rPr>
                        <w:t xml:space="preserve">La Habana, </w:t>
                      </w:r>
                      <w:r w:rsidR="00FC7EB6">
                        <w:rPr>
                          <w:bCs/>
                          <w:iCs/>
                          <w:color w:val="000066"/>
                        </w:rPr>
                        <w:t>julio</w:t>
                      </w:r>
                      <w:r w:rsidR="001F7A97">
                        <w:rPr>
                          <w:bCs/>
                          <w:iCs/>
                          <w:color w:val="000066"/>
                        </w:rPr>
                        <w:t xml:space="preserve"> de </w:t>
                      </w:r>
                      <w:r w:rsidRPr="001F7A97">
                        <w:rPr>
                          <w:bCs/>
                          <w:iCs/>
                          <w:color w:val="000066"/>
                        </w:rPr>
                        <w:t>2021</w:t>
                      </w:r>
                    </w:p>
                    <w:p w14:paraId="6D87090F" w14:textId="77777777" w:rsidR="00052E5D" w:rsidRPr="00EF7DD6" w:rsidRDefault="00052E5D" w:rsidP="00052E5D">
                      <w:pPr>
                        <w:jc w:val="both"/>
                      </w:pPr>
                    </w:p>
                  </w:txbxContent>
                </v:textbox>
                <w10:wrap type="square" anchorx="margin"/>
              </v:shape>
            </w:pict>
          </mc:Fallback>
        </mc:AlternateContent>
      </w:r>
    </w:p>
    <w:sectPr w:rsidR="00E4549B" w:rsidSect="004F1612">
      <w:pgSz w:w="11906" w:h="16838"/>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286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000004"/>
    <w:multiLevelType w:val="hybridMultilevel"/>
    <w:tmpl w:val="BA8AD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08224F"/>
    <w:multiLevelType w:val="hybridMultilevel"/>
    <w:tmpl w:val="80666DCE"/>
    <w:lvl w:ilvl="0" w:tplc="D00AA1B6">
      <w:start w:val="1"/>
      <w:numFmt w:val="bullet"/>
      <w:lvlText w:val=""/>
      <w:lvlJc w:val="left"/>
      <w:pPr>
        <w:ind w:left="720" w:hanging="360"/>
      </w:pPr>
      <w:rPr>
        <w:rFonts w:ascii="Symbol" w:hAnsi="Symbol" w:hint="default"/>
        <w:color w:val="0000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3656D"/>
    <w:multiLevelType w:val="multilevel"/>
    <w:tmpl w:val="B9BE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7159C"/>
    <w:multiLevelType w:val="hybridMultilevel"/>
    <w:tmpl w:val="5ECE65E0"/>
    <w:lvl w:ilvl="0" w:tplc="C77A0DBC">
      <w:start w:val="1"/>
      <w:numFmt w:val="bullet"/>
      <w:lvlText w:val=""/>
      <w:lvlJc w:val="left"/>
      <w:pPr>
        <w:ind w:left="720" w:hanging="360"/>
      </w:pPr>
      <w:rPr>
        <w:rFonts w:ascii="Symbol" w:hAnsi="Symbol" w:hint="default"/>
        <w:color w:val="00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53161"/>
    <w:multiLevelType w:val="hybridMultilevel"/>
    <w:tmpl w:val="442C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77352"/>
    <w:multiLevelType w:val="hybridMultilevel"/>
    <w:tmpl w:val="01602EB6"/>
    <w:lvl w:ilvl="0" w:tplc="04090001">
      <w:start w:val="1"/>
      <w:numFmt w:val="bullet"/>
      <w:lvlText w:val=""/>
      <w:lvlJc w:val="left"/>
      <w:pPr>
        <w:tabs>
          <w:tab w:val="num" w:pos="720"/>
        </w:tabs>
        <w:ind w:left="720" w:hanging="360"/>
      </w:pPr>
      <w:rPr>
        <w:rFonts w:ascii="Symbol" w:hAnsi="Symbol" w:hint="default"/>
      </w:rPr>
    </w:lvl>
    <w:lvl w:ilvl="1" w:tplc="ABAC5E8A" w:tentative="1">
      <w:start w:val="1"/>
      <w:numFmt w:val="bullet"/>
      <w:lvlText w:val=""/>
      <w:lvlJc w:val="left"/>
      <w:pPr>
        <w:tabs>
          <w:tab w:val="num" w:pos="1440"/>
        </w:tabs>
        <w:ind w:left="1440" w:hanging="360"/>
      </w:pPr>
      <w:rPr>
        <w:rFonts w:ascii="Wingdings" w:hAnsi="Wingdings" w:hint="default"/>
      </w:rPr>
    </w:lvl>
    <w:lvl w:ilvl="2" w:tplc="468A9D22" w:tentative="1">
      <w:start w:val="1"/>
      <w:numFmt w:val="bullet"/>
      <w:lvlText w:val=""/>
      <w:lvlJc w:val="left"/>
      <w:pPr>
        <w:tabs>
          <w:tab w:val="num" w:pos="2160"/>
        </w:tabs>
        <w:ind w:left="2160" w:hanging="360"/>
      </w:pPr>
      <w:rPr>
        <w:rFonts w:ascii="Wingdings" w:hAnsi="Wingdings" w:hint="default"/>
      </w:rPr>
    </w:lvl>
    <w:lvl w:ilvl="3" w:tplc="AB7645A2" w:tentative="1">
      <w:start w:val="1"/>
      <w:numFmt w:val="bullet"/>
      <w:lvlText w:val=""/>
      <w:lvlJc w:val="left"/>
      <w:pPr>
        <w:tabs>
          <w:tab w:val="num" w:pos="2880"/>
        </w:tabs>
        <w:ind w:left="2880" w:hanging="360"/>
      </w:pPr>
      <w:rPr>
        <w:rFonts w:ascii="Wingdings" w:hAnsi="Wingdings" w:hint="default"/>
      </w:rPr>
    </w:lvl>
    <w:lvl w:ilvl="4" w:tplc="AB568214" w:tentative="1">
      <w:start w:val="1"/>
      <w:numFmt w:val="bullet"/>
      <w:lvlText w:val=""/>
      <w:lvlJc w:val="left"/>
      <w:pPr>
        <w:tabs>
          <w:tab w:val="num" w:pos="3600"/>
        </w:tabs>
        <w:ind w:left="3600" w:hanging="360"/>
      </w:pPr>
      <w:rPr>
        <w:rFonts w:ascii="Wingdings" w:hAnsi="Wingdings" w:hint="default"/>
      </w:rPr>
    </w:lvl>
    <w:lvl w:ilvl="5" w:tplc="C492BE62" w:tentative="1">
      <w:start w:val="1"/>
      <w:numFmt w:val="bullet"/>
      <w:lvlText w:val=""/>
      <w:lvlJc w:val="left"/>
      <w:pPr>
        <w:tabs>
          <w:tab w:val="num" w:pos="4320"/>
        </w:tabs>
        <w:ind w:left="4320" w:hanging="360"/>
      </w:pPr>
      <w:rPr>
        <w:rFonts w:ascii="Wingdings" w:hAnsi="Wingdings" w:hint="default"/>
      </w:rPr>
    </w:lvl>
    <w:lvl w:ilvl="6" w:tplc="6D62CE62" w:tentative="1">
      <w:start w:val="1"/>
      <w:numFmt w:val="bullet"/>
      <w:lvlText w:val=""/>
      <w:lvlJc w:val="left"/>
      <w:pPr>
        <w:tabs>
          <w:tab w:val="num" w:pos="5040"/>
        </w:tabs>
        <w:ind w:left="5040" w:hanging="360"/>
      </w:pPr>
      <w:rPr>
        <w:rFonts w:ascii="Wingdings" w:hAnsi="Wingdings" w:hint="default"/>
      </w:rPr>
    </w:lvl>
    <w:lvl w:ilvl="7" w:tplc="13DC37D0" w:tentative="1">
      <w:start w:val="1"/>
      <w:numFmt w:val="bullet"/>
      <w:lvlText w:val=""/>
      <w:lvlJc w:val="left"/>
      <w:pPr>
        <w:tabs>
          <w:tab w:val="num" w:pos="5760"/>
        </w:tabs>
        <w:ind w:left="5760" w:hanging="360"/>
      </w:pPr>
      <w:rPr>
        <w:rFonts w:ascii="Wingdings" w:hAnsi="Wingdings" w:hint="default"/>
      </w:rPr>
    </w:lvl>
    <w:lvl w:ilvl="8" w:tplc="88B4D2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17A70"/>
    <w:multiLevelType w:val="hybridMultilevel"/>
    <w:tmpl w:val="944E0002"/>
    <w:lvl w:ilvl="0" w:tplc="A5007EBC">
      <w:start w:val="1"/>
      <w:numFmt w:val="bullet"/>
      <w:lvlText w:val=""/>
      <w:lvlJc w:val="left"/>
      <w:pPr>
        <w:ind w:left="720" w:hanging="360"/>
      </w:pPr>
      <w:rPr>
        <w:rFonts w:ascii="Symbol" w:hAnsi="Symbol" w:hint="default"/>
        <w:color w:val="0000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8657DF"/>
    <w:multiLevelType w:val="hybridMultilevel"/>
    <w:tmpl w:val="9ABEDD8C"/>
    <w:lvl w:ilvl="0" w:tplc="C9A43610">
      <w:start w:val="1"/>
      <w:numFmt w:val="bullet"/>
      <w:lvlText w:val=""/>
      <w:lvlJc w:val="left"/>
      <w:pPr>
        <w:tabs>
          <w:tab w:val="num" w:pos="720"/>
        </w:tabs>
        <w:ind w:left="720" w:hanging="360"/>
      </w:pPr>
      <w:rPr>
        <w:rFonts w:ascii="Wingdings" w:hAnsi="Wingdings" w:hint="default"/>
      </w:rPr>
    </w:lvl>
    <w:lvl w:ilvl="1" w:tplc="55A055C4" w:tentative="1">
      <w:start w:val="1"/>
      <w:numFmt w:val="bullet"/>
      <w:lvlText w:val=""/>
      <w:lvlJc w:val="left"/>
      <w:pPr>
        <w:tabs>
          <w:tab w:val="num" w:pos="1440"/>
        </w:tabs>
        <w:ind w:left="1440" w:hanging="360"/>
      </w:pPr>
      <w:rPr>
        <w:rFonts w:ascii="Wingdings" w:hAnsi="Wingdings" w:hint="default"/>
      </w:rPr>
    </w:lvl>
    <w:lvl w:ilvl="2" w:tplc="A39C28D0" w:tentative="1">
      <w:start w:val="1"/>
      <w:numFmt w:val="bullet"/>
      <w:lvlText w:val=""/>
      <w:lvlJc w:val="left"/>
      <w:pPr>
        <w:tabs>
          <w:tab w:val="num" w:pos="2160"/>
        </w:tabs>
        <w:ind w:left="2160" w:hanging="360"/>
      </w:pPr>
      <w:rPr>
        <w:rFonts w:ascii="Wingdings" w:hAnsi="Wingdings" w:hint="default"/>
      </w:rPr>
    </w:lvl>
    <w:lvl w:ilvl="3" w:tplc="2E2CAE24" w:tentative="1">
      <w:start w:val="1"/>
      <w:numFmt w:val="bullet"/>
      <w:lvlText w:val=""/>
      <w:lvlJc w:val="left"/>
      <w:pPr>
        <w:tabs>
          <w:tab w:val="num" w:pos="2880"/>
        </w:tabs>
        <w:ind w:left="2880" w:hanging="360"/>
      </w:pPr>
      <w:rPr>
        <w:rFonts w:ascii="Wingdings" w:hAnsi="Wingdings" w:hint="default"/>
      </w:rPr>
    </w:lvl>
    <w:lvl w:ilvl="4" w:tplc="473A0C46" w:tentative="1">
      <w:start w:val="1"/>
      <w:numFmt w:val="bullet"/>
      <w:lvlText w:val=""/>
      <w:lvlJc w:val="left"/>
      <w:pPr>
        <w:tabs>
          <w:tab w:val="num" w:pos="3600"/>
        </w:tabs>
        <w:ind w:left="3600" w:hanging="360"/>
      </w:pPr>
      <w:rPr>
        <w:rFonts w:ascii="Wingdings" w:hAnsi="Wingdings" w:hint="default"/>
      </w:rPr>
    </w:lvl>
    <w:lvl w:ilvl="5" w:tplc="43101D14" w:tentative="1">
      <w:start w:val="1"/>
      <w:numFmt w:val="bullet"/>
      <w:lvlText w:val=""/>
      <w:lvlJc w:val="left"/>
      <w:pPr>
        <w:tabs>
          <w:tab w:val="num" w:pos="4320"/>
        </w:tabs>
        <w:ind w:left="4320" w:hanging="360"/>
      </w:pPr>
      <w:rPr>
        <w:rFonts w:ascii="Wingdings" w:hAnsi="Wingdings" w:hint="default"/>
      </w:rPr>
    </w:lvl>
    <w:lvl w:ilvl="6" w:tplc="EE4096E2" w:tentative="1">
      <w:start w:val="1"/>
      <w:numFmt w:val="bullet"/>
      <w:lvlText w:val=""/>
      <w:lvlJc w:val="left"/>
      <w:pPr>
        <w:tabs>
          <w:tab w:val="num" w:pos="5040"/>
        </w:tabs>
        <w:ind w:left="5040" w:hanging="360"/>
      </w:pPr>
      <w:rPr>
        <w:rFonts w:ascii="Wingdings" w:hAnsi="Wingdings" w:hint="default"/>
      </w:rPr>
    </w:lvl>
    <w:lvl w:ilvl="7" w:tplc="04020706" w:tentative="1">
      <w:start w:val="1"/>
      <w:numFmt w:val="bullet"/>
      <w:lvlText w:val=""/>
      <w:lvlJc w:val="left"/>
      <w:pPr>
        <w:tabs>
          <w:tab w:val="num" w:pos="5760"/>
        </w:tabs>
        <w:ind w:left="5760" w:hanging="360"/>
      </w:pPr>
      <w:rPr>
        <w:rFonts w:ascii="Wingdings" w:hAnsi="Wingdings" w:hint="default"/>
      </w:rPr>
    </w:lvl>
    <w:lvl w:ilvl="8" w:tplc="DB0A97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72370"/>
    <w:multiLevelType w:val="hybridMultilevel"/>
    <w:tmpl w:val="88188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FF5222"/>
    <w:multiLevelType w:val="hybridMultilevel"/>
    <w:tmpl w:val="2E50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04F78"/>
    <w:multiLevelType w:val="hybridMultilevel"/>
    <w:tmpl w:val="FC54E364"/>
    <w:lvl w:ilvl="0" w:tplc="12A6EE64">
      <w:start w:val="1"/>
      <w:numFmt w:val="decimal"/>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4720AB6"/>
    <w:multiLevelType w:val="hybridMultilevel"/>
    <w:tmpl w:val="57026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8D520C"/>
    <w:multiLevelType w:val="hybridMultilevel"/>
    <w:tmpl w:val="92E003E6"/>
    <w:lvl w:ilvl="0" w:tplc="FF3674CE">
      <w:start w:val="1"/>
      <w:numFmt w:val="bullet"/>
      <w:lvlText w:val=""/>
      <w:lvlJc w:val="left"/>
      <w:pPr>
        <w:ind w:left="720" w:hanging="360"/>
      </w:pPr>
      <w:rPr>
        <w:rFonts w:ascii="Symbol" w:hAnsi="Symbol" w:hint="default"/>
        <w:color w:val="00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2"/>
  </w:num>
  <w:num w:numId="5">
    <w:abstractNumId w:val="13"/>
  </w:num>
  <w:num w:numId="6">
    <w:abstractNumId w:val="10"/>
  </w:num>
  <w:num w:numId="7">
    <w:abstractNumId w:val="4"/>
  </w:num>
  <w:num w:numId="8">
    <w:abstractNumId w:val="6"/>
  </w:num>
  <w:num w:numId="9">
    <w:abstractNumId w:val="8"/>
  </w:num>
  <w:num w:numId="10">
    <w:abstractNumId w:val="1"/>
  </w:num>
  <w:num w:numId="11">
    <w:abstractNumId w:val="0"/>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1D"/>
    <w:rsid w:val="00015D41"/>
    <w:rsid w:val="000172A2"/>
    <w:rsid w:val="00052E5D"/>
    <w:rsid w:val="00090EA6"/>
    <w:rsid w:val="00100204"/>
    <w:rsid w:val="001652CB"/>
    <w:rsid w:val="001669AF"/>
    <w:rsid w:val="001B1B7B"/>
    <w:rsid w:val="001B5A2C"/>
    <w:rsid w:val="001F7A97"/>
    <w:rsid w:val="0030426D"/>
    <w:rsid w:val="00313D20"/>
    <w:rsid w:val="003932C1"/>
    <w:rsid w:val="003A15E7"/>
    <w:rsid w:val="003A1C53"/>
    <w:rsid w:val="003D177D"/>
    <w:rsid w:val="003D3BB0"/>
    <w:rsid w:val="003F4C15"/>
    <w:rsid w:val="00421D9E"/>
    <w:rsid w:val="00427878"/>
    <w:rsid w:val="0043386C"/>
    <w:rsid w:val="00466036"/>
    <w:rsid w:val="004B0E83"/>
    <w:rsid w:val="004D22A6"/>
    <w:rsid w:val="004D67C8"/>
    <w:rsid w:val="004F1612"/>
    <w:rsid w:val="004F1641"/>
    <w:rsid w:val="00560D33"/>
    <w:rsid w:val="005771C7"/>
    <w:rsid w:val="005829FF"/>
    <w:rsid w:val="00676559"/>
    <w:rsid w:val="00687440"/>
    <w:rsid w:val="00687C15"/>
    <w:rsid w:val="006948B6"/>
    <w:rsid w:val="006A463B"/>
    <w:rsid w:val="006A5B90"/>
    <w:rsid w:val="006C4C9B"/>
    <w:rsid w:val="006C5280"/>
    <w:rsid w:val="006C7880"/>
    <w:rsid w:val="006E7155"/>
    <w:rsid w:val="007027B7"/>
    <w:rsid w:val="007045CC"/>
    <w:rsid w:val="00746D6B"/>
    <w:rsid w:val="0076301D"/>
    <w:rsid w:val="00852AEE"/>
    <w:rsid w:val="008D362C"/>
    <w:rsid w:val="008F66F8"/>
    <w:rsid w:val="00985117"/>
    <w:rsid w:val="009C169A"/>
    <w:rsid w:val="00A96710"/>
    <w:rsid w:val="00AB76F2"/>
    <w:rsid w:val="00AC4DEA"/>
    <w:rsid w:val="00AD3D8E"/>
    <w:rsid w:val="00B0195B"/>
    <w:rsid w:val="00B16404"/>
    <w:rsid w:val="00B8437C"/>
    <w:rsid w:val="00BA0B12"/>
    <w:rsid w:val="00BB6CFC"/>
    <w:rsid w:val="00BC5AE8"/>
    <w:rsid w:val="00CB06F9"/>
    <w:rsid w:val="00CB7915"/>
    <w:rsid w:val="00D325DD"/>
    <w:rsid w:val="00D802DE"/>
    <w:rsid w:val="00D87D19"/>
    <w:rsid w:val="00E447D2"/>
    <w:rsid w:val="00E4549B"/>
    <w:rsid w:val="00E93D04"/>
    <w:rsid w:val="00EC6D54"/>
    <w:rsid w:val="00ED4247"/>
    <w:rsid w:val="00EE517A"/>
    <w:rsid w:val="00EF599A"/>
    <w:rsid w:val="00EF7DD6"/>
    <w:rsid w:val="00F263F1"/>
    <w:rsid w:val="00F32072"/>
    <w:rsid w:val="00F91ED2"/>
    <w:rsid w:val="00FA4C7C"/>
    <w:rsid w:val="00FC7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51A0"/>
  <w15:chartTrackingRefBased/>
  <w15:docId w15:val="{649EE0C1-DA5A-42C5-8ABB-AEF2D67A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F59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EF599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F1612"/>
    <w:pPr>
      <w:ind w:left="720"/>
      <w:contextualSpacing/>
    </w:pPr>
  </w:style>
  <w:style w:type="table" w:styleId="Tablaconcuadrcula">
    <w:name w:val="Table Grid"/>
    <w:basedOn w:val="Tablanormal"/>
    <w:uiPriority w:val="39"/>
    <w:rsid w:val="003F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C15"/>
    <w:pPr>
      <w:autoSpaceDE w:val="0"/>
      <w:autoSpaceDN w:val="0"/>
      <w:adjustRightInd w:val="0"/>
    </w:pPr>
    <w:rPr>
      <w:rFonts w:ascii="Cambria" w:hAnsi="Cambria" w:cs="Cambria"/>
      <w:color w:val="000000"/>
      <w:sz w:val="24"/>
      <w:szCs w:val="24"/>
    </w:rPr>
  </w:style>
  <w:style w:type="character" w:styleId="Hipervnculo">
    <w:name w:val="Hyperlink"/>
    <w:basedOn w:val="Fuentedeprrafopredeter"/>
    <w:uiPriority w:val="99"/>
    <w:unhideWhenUsed/>
    <w:rsid w:val="00EE517A"/>
    <w:rPr>
      <w:color w:val="0563C1" w:themeColor="hyperlink"/>
      <w:u w:val="single"/>
    </w:rPr>
  </w:style>
  <w:style w:type="character" w:customStyle="1" w:styleId="PrrafodelistaCar">
    <w:name w:val="Párrafo de lista Car"/>
    <w:link w:val="Prrafodelista"/>
    <w:uiPriority w:val="34"/>
    <w:rsid w:val="007045CC"/>
  </w:style>
  <w:style w:type="character" w:customStyle="1" w:styleId="Ttulo1Car">
    <w:name w:val="Título 1 Car"/>
    <w:basedOn w:val="Fuentedeprrafopredeter"/>
    <w:link w:val="Ttulo1"/>
    <w:uiPriority w:val="9"/>
    <w:rsid w:val="00EF599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EF599A"/>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6A46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463B"/>
    <w:rPr>
      <w:rFonts w:ascii="Segoe UI" w:hAnsi="Segoe UI" w:cs="Segoe UI"/>
      <w:sz w:val="18"/>
      <w:szCs w:val="18"/>
    </w:rPr>
  </w:style>
  <w:style w:type="character" w:styleId="Refdecomentario">
    <w:name w:val="annotation reference"/>
    <w:basedOn w:val="Fuentedeprrafopredeter"/>
    <w:uiPriority w:val="99"/>
    <w:semiHidden/>
    <w:unhideWhenUsed/>
    <w:rsid w:val="006A463B"/>
    <w:rPr>
      <w:sz w:val="16"/>
      <w:szCs w:val="16"/>
    </w:rPr>
  </w:style>
  <w:style w:type="paragraph" w:styleId="Textocomentario">
    <w:name w:val="annotation text"/>
    <w:basedOn w:val="Normal"/>
    <w:link w:val="TextocomentarioCar"/>
    <w:uiPriority w:val="99"/>
    <w:semiHidden/>
    <w:unhideWhenUsed/>
    <w:rsid w:val="006A463B"/>
    <w:rPr>
      <w:sz w:val="20"/>
      <w:szCs w:val="20"/>
    </w:rPr>
  </w:style>
  <w:style w:type="character" w:customStyle="1" w:styleId="TextocomentarioCar">
    <w:name w:val="Texto comentario Car"/>
    <w:basedOn w:val="Fuentedeprrafopredeter"/>
    <w:link w:val="Textocomentario"/>
    <w:uiPriority w:val="99"/>
    <w:semiHidden/>
    <w:rsid w:val="006A463B"/>
    <w:rPr>
      <w:sz w:val="20"/>
      <w:szCs w:val="20"/>
    </w:rPr>
  </w:style>
  <w:style w:type="paragraph" w:styleId="Asuntodelcomentario">
    <w:name w:val="annotation subject"/>
    <w:basedOn w:val="Textocomentario"/>
    <w:next w:val="Textocomentario"/>
    <w:link w:val="AsuntodelcomentarioCar"/>
    <w:uiPriority w:val="99"/>
    <w:semiHidden/>
    <w:unhideWhenUsed/>
    <w:rsid w:val="006A463B"/>
    <w:rPr>
      <w:b/>
      <w:bCs/>
    </w:rPr>
  </w:style>
  <w:style w:type="character" w:customStyle="1" w:styleId="AsuntodelcomentarioCar">
    <w:name w:val="Asunto del comentario Car"/>
    <w:basedOn w:val="TextocomentarioCar"/>
    <w:link w:val="Asuntodelcomentario"/>
    <w:uiPriority w:val="99"/>
    <w:semiHidden/>
    <w:rsid w:val="006A4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956">
      <w:bodyDiv w:val="1"/>
      <w:marLeft w:val="0"/>
      <w:marRight w:val="0"/>
      <w:marTop w:val="0"/>
      <w:marBottom w:val="0"/>
      <w:divBdr>
        <w:top w:val="none" w:sz="0" w:space="0" w:color="auto"/>
        <w:left w:val="none" w:sz="0" w:space="0" w:color="auto"/>
        <w:bottom w:val="none" w:sz="0" w:space="0" w:color="auto"/>
        <w:right w:val="none" w:sz="0" w:space="0" w:color="auto"/>
      </w:divBdr>
    </w:div>
    <w:div w:id="216671672">
      <w:bodyDiv w:val="1"/>
      <w:marLeft w:val="0"/>
      <w:marRight w:val="0"/>
      <w:marTop w:val="0"/>
      <w:marBottom w:val="0"/>
      <w:divBdr>
        <w:top w:val="none" w:sz="0" w:space="0" w:color="auto"/>
        <w:left w:val="none" w:sz="0" w:space="0" w:color="auto"/>
        <w:bottom w:val="none" w:sz="0" w:space="0" w:color="auto"/>
        <w:right w:val="none" w:sz="0" w:space="0" w:color="auto"/>
      </w:divBdr>
    </w:div>
    <w:div w:id="316881132">
      <w:bodyDiv w:val="1"/>
      <w:marLeft w:val="0"/>
      <w:marRight w:val="0"/>
      <w:marTop w:val="0"/>
      <w:marBottom w:val="0"/>
      <w:divBdr>
        <w:top w:val="none" w:sz="0" w:space="0" w:color="auto"/>
        <w:left w:val="none" w:sz="0" w:space="0" w:color="auto"/>
        <w:bottom w:val="none" w:sz="0" w:space="0" w:color="auto"/>
        <w:right w:val="none" w:sz="0" w:space="0" w:color="auto"/>
      </w:divBdr>
    </w:div>
    <w:div w:id="365106293">
      <w:bodyDiv w:val="1"/>
      <w:marLeft w:val="0"/>
      <w:marRight w:val="0"/>
      <w:marTop w:val="0"/>
      <w:marBottom w:val="0"/>
      <w:divBdr>
        <w:top w:val="none" w:sz="0" w:space="0" w:color="auto"/>
        <w:left w:val="none" w:sz="0" w:space="0" w:color="auto"/>
        <w:bottom w:val="none" w:sz="0" w:space="0" w:color="auto"/>
        <w:right w:val="none" w:sz="0" w:space="0" w:color="auto"/>
      </w:divBdr>
    </w:div>
    <w:div w:id="413093227">
      <w:bodyDiv w:val="1"/>
      <w:marLeft w:val="0"/>
      <w:marRight w:val="0"/>
      <w:marTop w:val="0"/>
      <w:marBottom w:val="0"/>
      <w:divBdr>
        <w:top w:val="none" w:sz="0" w:space="0" w:color="auto"/>
        <w:left w:val="none" w:sz="0" w:space="0" w:color="auto"/>
        <w:bottom w:val="none" w:sz="0" w:space="0" w:color="auto"/>
        <w:right w:val="none" w:sz="0" w:space="0" w:color="auto"/>
      </w:divBdr>
      <w:divsChild>
        <w:div w:id="20281746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35670789">
      <w:bodyDiv w:val="1"/>
      <w:marLeft w:val="0"/>
      <w:marRight w:val="0"/>
      <w:marTop w:val="0"/>
      <w:marBottom w:val="0"/>
      <w:divBdr>
        <w:top w:val="none" w:sz="0" w:space="0" w:color="auto"/>
        <w:left w:val="none" w:sz="0" w:space="0" w:color="auto"/>
        <w:bottom w:val="none" w:sz="0" w:space="0" w:color="auto"/>
        <w:right w:val="none" w:sz="0" w:space="0" w:color="auto"/>
      </w:divBdr>
    </w:div>
    <w:div w:id="912280811">
      <w:bodyDiv w:val="1"/>
      <w:marLeft w:val="0"/>
      <w:marRight w:val="0"/>
      <w:marTop w:val="0"/>
      <w:marBottom w:val="0"/>
      <w:divBdr>
        <w:top w:val="none" w:sz="0" w:space="0" w:color="auto"/>
        <w:left w:val="none" w:sz="0" w:space="0" w:color="auto"/>
        <w:bottom w:val="none" w:sz="0" w:space="0" w:color="auto"/>
        <w:right w:val="none" w:sz="0" w:space="0" w:color="auto"/>
      </w:divBdr>
    </w:div>
    <w:div w:id="941573109">
      <w:bodyDiv w:val="1"/>
      <w:marLeft w:val="0"/>
      <w:marRight w:val="0"/>
      <w:marTop w:val="0"/>
      <w:marBottom w:val="0"/>
      <w:divBdr>
        <w:top w:val="none" w:sz="0" w:space="0" w:color="auto"/>
        <w:left w:val="none" w:sz="0" w:space="0" w:color="auto"/>
        <w:bottom w:val="none" w:sz="0" w:space="0" w:color="auto"/>
        <w:right w:val="none" w:sz="0" w:space="0" w:color="auto"/>
      </w:divBdr>
    </w:div>
    <w:div w:id="1237518283">
      <w:bodyDiv w:val="1"/>
      <w:marLeft w:val="0"/>
      <w:marRight w:val="0"/>
      <w:marTop w:val="0"/>
      <w:marBottom w:val="0"/>
      <w:divBdr>
        <w:top w:val="none" w:sz="0" w:space="0" w:color="auto"/>
        <w:left w:val="none" w:sz="0" w:space="0" w:color="auto"/>
        <w:bottom w:val="none" w:sz="0" w:space="0" w:color="auto"/>
        <w:right w:val="none" w:sz="0" w:space="0" w:color="auto"/>
      </w:divBdr>
      <w:divsChild>
        <w:div w:id="437792456">
          <w:marLeft w:val="0"/>
          <w:marRight w:val="0"/>
          <w:marTop w:val="0"/>
          <w:marBottom w:val="0"/>
          <w:divBdr>
            <w:top w:val="none" w:sz="0" w:space="0" w:color="auto"/>
            <w:left w:val="none" w:sz="0" w:space="0" w:color="auto"/>
            <w:bottom w:val="none" w:sz="0" w:space="0" w:color="auto"/>
            <w:right w:val="none" w:sz="0" w:space="0" w:color="auto"/>
          </w:divBdr>
        </w:div>
        <w:div w:id="1099301093">
          <w:marLeft w:val="0"/>
          <w:marRight w:val="0"/>
          <w:marTop w:val="0"/>
          <w:marBottom w:val="0"/>
          <w:divBdr>
            <w:top w:val="none" w:sz="0" w:space="0" w:color="auto"/>
            <w:left w:val="none" w:sz="0" w:space="0" w:color="auto"/>
            <w:bottom w:val="none" w:sz="0" w:space="0" w:color="auto"/>
            <w:right w:val="none" w:sz="0" w:space="0" w:color="auto"/>
          </w:divBdr>
        </w:div>
      </w:divsChild>
    </w:div>
    <w:div w:id="1443957179">
      <w:bodyDiv w:val="1"/>
      <w:marLeft w:val="0"/>
      <w:marRight w:val="0"/>
      <w:marTop w:val="0"/>
      <w:marBottom w:val="0"/>
      <w:divBdr>
        <w:top w:val="none" w:sz="0" w:space="0" w:color="auto"/>
        <w:left w:val="none" w:sz="0" w:space="0" w:color="auto"/>
        <w:bottom w:val="none" w:sz="0" w:space="0" w:color="auto"/>
        <w:right w:val="none" w:sz="0" w:space="0" w:color="auto"/>
      </w:divBdr>
    </w:div>
    <w:div w:id="1707682533">
      <w:bodyDiv w:val="1"/>
      <w:marLeft w:val="0"/>
      <w:marRight w:val="0"/>
      <w:marTop w:val="0"/>
      <w:marBottom w:val="0"/>
      <w:divBdr>
        <w:top w:val="none" w:sz="0" w:space="0" w:color="auto"/>
        <w:left w:val="none" w:sz="0" w:space="0" w:color="auto"/>
        <w:bottom w:val="none" w:sz="0" w:space="0" w:color="auto"/>
        <w:right w:val="none" w:sz="0" w:space="0" w:color="auto"/>
      </w:divBdr>
    </w:div>
    <w:div w:id="1933777123">
      <w:bodyDiv w:val="1"/>
      <w:marLeft w:val="0"/>
      <w:marRight w:val="0"/>
      <w:marTop w:val="0"/>
      <w:marBottom w:val="0"/>
      <w:divBdr>
        <w:top w:val="none" w:sz="0" w:space="0" w:color="auto"/>
        <w:left w:val="none" w:sz="0" w:space="0" w:color="auto"/>
        <w:bottom w:val="none" w:sz="0" w:space="0" w:color="auto"/>
        <w:right w:val="none" w:sz="0" w:space="0" w:color="auto"/>
      </w:divBdr>
    </w:div>
    <w:div w:id="20815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analcaribe.icrt.cu/demografia-y-comunicacion-alianza-frente-a-la-covid-19/" TargetMode="External"/><Relationship Id="rId18" Type="http://schemas.openxmlformats.org/officeDocument/2006/relationships/hyperlink" Target="https://lac.unfpa.org/es/publications/implicaciones-del-covid-19-en-la-poblaci%C3%B3n-afrodescendiente-de-am%C3%A9rica-latina-y-el" TargetMode="External"/><Relationship Id="rId26" Type="http://schemas.openxmlformats.org/officeDocument/2006/relationships/hyperlink" Target="https://www.paho.org/es/node/70518" TargetMode="External"/><Relationship Id="rId3" Type="http://schemas.openxmlformats.org/officeDocument/2006/relationships/styles" Target="styles.xml"/><Relationship Id="rId21" Type="http://schemas.openxmlformats.org/officeDocument/2006/relationships/hyperlink" Target="https://lac.unfpa.org/es/publications/matrimonio-infantil-y-uniones-tempranas-en-am%C3%A9rica-latina-y-el-caribe-en-contextos" TargetMode="External"/><Relationship Id="rId7" Type="http://schemas.openxmlformats.org/officeDocument/2006/relationships/image" Target="media/image2.png"/><Relationship Id="rId12" Type="http://schemas.openxmlformats.org/officeDocument/2006/relationships/hyperlink" Target="https://www.cubaperiodistas.cu/index.php/2020/09/cuba-los-proximos-desafios-comunicacionales-frente-a-la-covid-19/" TargetMode="External"/><Relationship Id="rId17" Type="http://schemas.openxmlformats.org/officeDocument/2006/relationships/hyperlink" Target="https://lac.unfpa.org/es/publications/atenci%C3%B3n-en-salud-sexual-y-reproductiva-y-planificaci%C3%B3n-familiar-durante-la-emergencia" TargetMode="External"/><Relationship Id="rId25" Type="http://schemas.openxmlformats.org/officeDocument/2006/relationships/hyperlink" Target="https://www.paho.org/es/documentos/covid-19-consejos-para-informar-guia-para-periodistas" TargetMode="External"/><Relationship Id="rId2" Type="http://schemas.openxmlformats.org/officeDocument/2006/relationships/numbering" Target="numbering.xml"/><Relationship Id="rId16" Type="http://schemas.openxmlformats.org/officeDocument/2006/relationships/hyperlink" Target="https://lac.unfpa.org/es/publications/covid-19-un-enfoque-de-g%C3%A9nero-0" TargetMode="External"/><Relationship Id="rId20" Type="http://schemas.openxmlformats.org/officeDocument/2006/relationships/hyperlink" Target="https://lac.unfpa.org/es/publications/masculinidades-igualdad-de-g%C3%A9nero-y-covid-1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ubaperiodistas.cu/wp-content/uploads/2020/06/IIPJM-Informe-Taller-Buenas-Pr%C3%A1cticas-COVID-19.pdf" TargetMode="External"/><Relationship Id="rId24" Type="http://schemas.openxmlformats.org/officeDocument/2006/relationships/hyperlink" Target="https://lac.unfpa.org/es/publications/declaraci%C3%B3n-entre-organismos-sobre-la-violencia-contra-las-mujeres-y-las-ni%C3%B1as-en-el" TargetMode="External"/><Relationship Id="rId5" Type="http://schemas.openxmlformats.org/officeDocument/2006/relationships/webSettings" Target="webSettings.xml"/><Relationship Id="rId15" Type="http://schemas.openxmlformats.org/officeDocument/2006/relationships/hyperlink" Target="https://lac.unfpa.org/es/publications/informe-de-pol%C3%ADticas-sobre-los-efectos-de-la-covid-19-en-am%C3%A9rica-latina-y-el-caribe" TargetMode="External"/><Relationship Id="rId23" Type="http://schemas.openxmlformats.org/officeDocument/2006/relationships/hyperlink" Target="https://lac.unfpa.org/es/publications/el-impacto-de-covid-19-en-el-acceso-los-anticonceptivos-en-am%C3%A9rica-latina-y-el-caribe" TargetMode="External"/><Relationship Id="rId28" Type="http://schemas.openxmlformats.org/officeDocument/2006/relationships/theme" Target="theme/theme1.xml"/><Relationship Id="rId10" Type="http://schemas.openxmlformats.org/officeDocument/2006/relationships/hyperlink" Target="https://cuba.unfpa.org/sites/default/files/pub-pdf/demografia_y_covid-19.pdf" TargetMode="External"/><Relationship Id="rId19" Type="http://schemas.openxmlformats.org/officeDocument/2006/relationships/hyperlink" Target="https://lac.unfpa.org/es/publications/repercusi%C3%B3n-de-la-pandemia-de-covid-19-en-la-planificaci%C3%B3n-familiar-y-la-eliminaci%C3%B3n-de" TargetMode="External"/><Relationship Id="rId4" Type="http://schemas.openxmlformats.org/officeDocument/2006/relationships/settings" Target="settings.xml"/><Relationship Id="rId9" Type="http://schemas.openxmlformats.org/officeDocument/2006/relationships/hyperlink" Target="https://bit.ly/3hDBVNu" TargetMode="External"/><Relationship Id="rId14" Type="http://schemas.openxmlformats.org/officeDocument/2006/relationships/hyperlink" Target="http://www.revistaccuba.cu/index.php/revacc/article/view/882/888" TargetMode="External"/><Relationship Id="rId22" Type="http://schemas.openxmlformats.org/officeDocument/2006/relationships/hyperlink" Target="https://lac.unfpa.org/es/publications/los-riesgos-de-la-pandemia-de-covid-19-para-el-ejercicio-de-los-derechos-sexuales-y"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AF41-4D01-4E7C-8734-EF8AF280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2240</Words>
  <Characters>12770</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Usuario de Windows</cp:lastModifiedBy>
  <cp:revision>6</cp:revision>
  <dcterms:created xsi:type="dcterms:W3CDTF">2021-07-07T19:28:00Z</dcterms:created>
  <dcterms:modified xsi:type="dcterms:W3CDTF">2021-07-07T21:33:00Z</dcterms:modified>
</cp:coreProperties>
</file>